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E81D" w14:textId="5181F571" w:rsidR="00E765EF" w:rsidRPr="00E765EF" w:rsidRDefault="00295973" w:rsidP="00795DB8">
      <w:pPr>
        <w:rPr>
          <w:b/>
          <w:bCs/>
          <w:sz w:val="32"/>
          <w:szCs w:val="32"/>
        </w:rPr>
      </w:pPr>
      <w:r w:rsidRPr="00E765EF">
        <w:rPr>
          <w:b/>
          <w:bCs/>
          <w:sz w:val="32"/>
          <w:szCs w:val="32"/>
        </w:rPr>
        <w:t>Summary</w:t>
      </w:r>
      <w:r w:rsidR="008A2F1F" w:rsidRPr="00E765EF">
        <w:rPr>
          <w:b/>
          <w:bCs/>
          <w:sz w:val="32"/>
          <w:szCs w:val="32"/>
        </w:rPr>
        <w:t xml:space="preserve"> of </w:t>
      </w:r>
      <w:r w:rsidR="00E765EF" w:rsidRPr="00E765EF">
        <w:rPr>
          <w:b/>
          <w:bCs/>
          <w:sz w:val="32"/>
          <w:szCs w:val="32"/>
        </w:rPr>
        <w:t>our</w:t>
      </w:r>
      <w:r w:rsidR="003934EF" w:rsidRPr="00E765EF">
        <w:rPr>
          <w:b/>
          <w:bCs/>
          <w:sz w:val="32"/>
          <w:szCs w:val="32"/>
        </w:rPr>
        <w:t xml:space="preserve"> </w:t>
      </w:r>
      <w:r w:rsidR="008A2F1F" w:rsidRPr="00E765EF">
        <w:rPr>
          <w:b/>
          <w:bCs/>
          <w:sz w:val="32"/>
          <w:szCs w:val="32"/>
        </w:rPr>
        <w:t>approach</w:t>
      </w:r>
      <w:r w:rsidR="003934EF" w:rsidRPr="00E765EF">
        <w:rPr>
          <w:b/>
          <w:bCs/>
          <w:sz w:val="32"/>
          <w:szCs w:val="32"/>
        </w:rPr>
        <w:t xml:space="preserve"> to achieve the Tenant Satisfaction </w:t>
      </w:r>
      <w:r w:rsidR="00763EDE" w:rsidRPr="00E765EF">
        <w:rPr>
          <w:b/>
          <w:bCs/>
          <w:sz w:val="32"/>
          <w:szCs w:val="32"/>
        </w:rPr>
        <w:t>M</w:t>
      </w:r>
      <w:r w:rsidR="003934EF" w:rsidRPr="00E765EF">
        <w:rPr>
          <w:b/>
          <w:bCs/>
          <w:sz w:val="32"/>
          <w:szCs w:val="32"/>
        </w:rPr>
        <w:t>easures</w:t>
      </w:r>
    </w:p>
    <w:p w14:paraId="743C7C3B" w14:textId="44C5C814" w:rsidR="009F55B0" w:rsidRDefault="009F55B0" w:rsidP="00ED2BD1">
      <w:pPr>
        <w:rPr>
          <w:b/>
          <w:bCs/>
          <w:sz w:val="23"/>
          <w:szCs w:val="23"/>
        </w:rPr>
      </w:pPr>
      <w:r>
        <w:rPr>
          <w:b/>
          <w:bCs/>
          <w:sz w:val="23"/>
          <w:szCs w:val="23"/>
        </w:rPr>
        <w:t>What are Tenant Satisfaction Measures?</w:t>
      </w:r>
    </w:p>
    <w:p w14:paraId="7FF71632" w14:textId="235F44BF" w:rsidR="009F55B0" w:rsidRDefault="009F55B0" w:rsidP="009F55B0">
      <w:pPr>
        <w:pStyle w:val="ListParagraph"/>
        <w:rPr>
          <w:sz w:val="23"/>
          <w:szCs w:val="23"/>
        </w:rPr>
      </w:pPr>
      <w:r w:rsidRPr="009F55B0">
        <w:rPr>
          <w:sz w:val="23"/>
          <w:szCs w:val="23"/>
        </w:rPr>
        <w:t>T</w:t>
      </w:r>
      <w:r>
        <w:rPr>
          <w:sz w:val="23"/>
          <w:szCs w:val="23"/>
        </w:rPr>
        <w:t>he Regulator of Social Housing requires all social rent landlords to provide them with performance information every year. The required information is called the Tenant Satisfaction Measures (TSMs), and the Regulator provides detailed guidance for landlords about how this information is collected and calculated. There are 22 TSMs:</w:t>
      </w:r>
    </w:p>
    <w:p w14:paraId="7FD070B4" w14:textId="62DCAD3D" w:rsidR="009F55B0" w:rsidRDefault="009F55B0" w:rsidP="009F55B0">
      <w:pPr>
        <w:pStyle w:val="ListParagraph"/>
        <w:numPr>
          <w:ilvl w:val="0"/>
          <w:numId w:val="3"/>
        </w:numPr>
        <w:rPr>
          <w:sz w:val="23"/>
          <w:szCs w:val="23"/>
        </w:rPr>
      </w:pPr>
      <w:r>
        <w:rPr>
          <w:sz w:val="23"/>
          <w:szCs w:val="23"/>
        </w:rPr>
        <w:t>1</w:t>
      </w:r>
      <w:r w:rsidR="00E765EF">
        <w:rPr>
          <w:sz w:val="23"/>
          <w:szCs w:val="23"/>
        </w:rPr>
        <w:t>0 landlord measures – which we calculate ourselves, and</w:t>
      </w:r>
    </w:p>
    <w:p w14:paraId="7A928348" w14:textId="54072396" w:rsidR="009F55B0" w:rsidRPr="009F55B0" w:rsidRDefault="009F55B0" w:rsidP="009F55B0">
      <w:pPr>
        <w:pStyle w:val="ListParagraph"/>
        <w:numPr>
          <w:ilvl w:val="0"/>
          <w:numId w:val="3"/>
        </w:numPr>
        <w:rPr>
          <w:sz w:val="23"/>
          <w:szCs w:val="23"/>
        </w:rPr>
      </w:pPr>
      <w:r>
        <w:rPr>
          <w:sz w:val="23"/>
          <w:szCs w:val="23"/>
        </w:rPr>
        <w:t>1</w:t>
      </w:r>
      <w:r w:rsidR="00E765EF">
        <w:rPr>
          <w:sz w:val="23"/>
          <w:szCs w:val="23"/>
        </w:rPr>
        <w:t>2 tenant survey</w:t>
      </w:r>
      <w:r>
        <w:rPr>
          <w:sz w:val="23"/>
          <w:szCs w:val="23"/>
        </w:rPr>
        <w:t xml:space="preserve"> measures</w:t>
      </w:r>
      <w:r w:rsidR="00E765EF">
        <w:rPr>
          <w:sz w:val="23"/>
          <w:szCs w:val="23"/>
        </w:rPr>
        <w:t>, which are collected and calculated by an independent specialist called Acuity</w:t>
      </w:r>
      <w:r>
        <w:rPr>
          <w:sz w:val="23"/>
          <w:szCs w:val="23"/>
        </w:rPr>
        <w:t xml:space="preserve">. </w:t>
      </w:r>
    </w:p>
    <w:p w14:paraId="4DF8E74A" w14:textId="77777777" w:rsidR="00667555" w:rsidRDefault="00667555" w:rsidP="009F55B0">
      <w:pPr>
        <w:pStyle w:val="ListParagraph"/>
        <w:rPr>
          <w:sz w:val="23"/>
          <w:szCs w:val="23"/>
        </w:rPr>
      </w:pPr>
    </w:p>
    <w:p w14:paraId="4B118D60" w14:textId="55C31C09" w:rsidR="009F55B0" w:rsidRDefault="00667555" w:rsidP="009F55B0">
      <w:pPr>
        <w:pStyle w:val="ListParagraph"/>
        <w:rPr>
          <w:sz w:val="23"/>
          <w:szCs w:val="23"/>
        </w:rPr>
      </w:pPr>
      <w:r w:rsidRPr="00667555">
        <w:rPr>
          <w:sz w:val="23"/>
          <w:szCs w:val="23"/>
        </w:rPr>
        <w:t xml:space="preserve">The Regulator has coded the 22 </w:t>
      </w:r>
      <w:r>
        <w:rPr>
          <w:sz w:val="23"/>
          <w:szCs w:val="23"/>
        </w:rPr>
        <w:t xml:space="preserve">TSMs, and we have included this code on the published results to make it easier for you to compare them with other social landlord results. </w:t>
      </w:r>
    </w:p>
    <w:p w14:paraId="36FAC28F" w14:textId="77777777" w:rsidR="00667555" w:rsidRPr="00667555" w:rsidRDefault="00667555" w:rsidP="009F55B0">
      <w:pPr>
        <w:pStyle w:val="ListParagraph"/>
        <w:rPr>
          <w:sz w:val="23"/>
          <w:szCs w:val="23"/>
        </w:rPr>
      </w:pPr>
    </w:p>
    <w:p w14:paraId="38CD5963" w14:textId="6D4210E2" w:rsidR="00380CD3" w:rsidRDefault="009F55B0" w:rsidP="00380CD3">
      <w:pPr>
        <w:pStyle w:val="ListParagraph"/>
        <w:rPr>
          <w:sz w:val="23"/>
          <w:szCs w:val="23"/>
        </w:rPr>
      </w:pPr>
      <w:r w:rsidRPr="009F55B0">
        <w:rPr>
          <w:sz w:val="23"/>
          <w:szCs w:val="23"/>
        </w:rPr>
        <w:t>This report explains our approach to collecting and calculating these measures for the last financial year 202</w:t>
      </w:r>
      <w:r w:rsidR="000F6408">
        <w:rPr>
          <w:sz w:val="23"/>
          <w:szCs w:val="23"/>
        </w:rPr>
        <w:t>4/</w:t>
      </w:r>
      <w:r w:rsidRPr="009F55B0">
        <w:rPr>
          <w:sz w:val="23"/>
          <w:szCs w:val="23"/>
        </w:rPr>
        <w:t>202</w:t>
      </w:r>
      <w:r w:rsidR="000F6408">
        <w:rPr>
          <w:sz w:val="23"/>
          <w:szCs w:val="23"/>
        </w:rPr>
        <w:t>5</w:t>
      </w:r>
      <w:r w:rsidRPr="009F55B0">
        <w:rPr>
          <w:sz w:val="23"/>
          <w:szCs w:val="23"/>
        </w:rPr>
        <w:t xml:space="preserve">. </w:t>
      </w:r>
    </w:p>
    <w:p w14:paraId="41476617" w14:textId="21E7385C" w:rsidR="00E765EF" w:rsidRPr="00E765EF" w:rsidRDefault="00E765EF" w:rsidP="00E765EF">
      <w:pPr>
        <w:ind w:firstLine="360"/>
        <w:rPr>
          <w:b/>
          <w:bCs/>
          <w:sz w:val="28"/>
          <w:szCs w:val="28"/>
        </w:rPr>
      </w:pPr>
      <w:r w:rsidRPr="00E765EF">
        <w:rPr>
          <w:b/>
          <w:bCs/>
          <w:sz w:val="28"/>
          <w:szCs w:val="28"/>
        </w:rPr>
        <w:t xml:space="preserve">Our </w:t>
      </w:r>
      <w:r>
        <w:rPr>
          <w:b/>
          <w:bCs/>
          <w:sz w:val="28"/>
          <w:szCs w:val="28"/>
        </w:rPr>
        <w:t>tenant survey</w:t>
      </w:r>
      <w:r w:rsidRPr="00E765EF">
        <w:rPr>
          <w:b/>
          <w:bCs/>
          <w:sz w:val="28"/>
          <w:szCs w:val="28"/>
        </w:rPr>
        <w:t xml:space="preserve"> </w:t>
      </w:r>
      <w:r>
        <w:rPr>
          <w:b/>
          <w:bCs/>
          <w:sz w:val="28"/>
          <w:szCs w:val="28"/>
        </w:rPr>
        <w:t>m</w:t>
      </w:r>
      <w:r w:rsidRPr="00E765EF">
        <w:rPr>
          <w:b/>
          <w:bCs/>
          <w:sz w:val="28"/>
          <w:szCs w:val="28"/>
        </w:rPr>
        <w:t>easures</w:t>
      </w:r>
    </w:p>
    <w:p w14:paraId="0A7485BB" w14:textId="636C40E6" w:rsidR="00AF00B2" w:rsidRPr="00763EDE" w:rsidRDefault="00AF00B2" w:rsidP="00826974">
      <w:pPr>
        <w:pStyle w:val="ListParagraph"/>
        <w:numPr>
          <w:ilvl w:val="0"/>
          <w:numId w:val="2"/>
        </w:numPr>
        <w:rPr>
          <w:b/>
          <w:bCs/>
          <w:sz w:val="23"/>
          <w:szCs w:val="23"/>
        </w:rPr>
      </w:pPr>
      <w:r w:rsidRPr="00763EDE">
        <w:rPr>
          <w:b/>
          <w:bCs/>
          <w:sz w:val="23"/>
          <w:szCs w:val="23"/>
        </w:rPr>
        <w:t xml:space="preserve">Who is included in the </w:t>
      </w:r>
      <w:r w:rsidR="00E522DA" w:rsidRPr="00763EDE">
        <w:rPr>
          <w:b/>
          <w:bCs/>
          <w:sz w:val="23"/>
          <w:szCs w:val="23"/>
        </w:rPr>
        <w:t xml:space="preserve">satisfaction survey for the </w:t>
      </w:r>
      <w:r w:rsidRPr="00763EDE">
        <w:rPr>
          <w:b/>
          <w:bCs/>
          <w:sz w:val="23"/>
          <w:szCs w:val="23"/>
        </w:rPr>
        <w:t>T</w:t>
      </w:r>
      <w:r w:rsidR="00032C17">
        <w:rPr>
          <w:b/>
          <w:bCs/>
          <w:sz w:val="23"/>
          <w:szCs w:val="23"/>
        </w:rPr>
        <w:t>SMs</w:t>
      </w:r>
      <w:r w:rsidRPr="00763EDE">
        <w:rPr>
          <w:b/>
          <w:bCs/>
          <w:sz w:val="23"/>
          <w:szCs w:val="23"/>
        </w:rPr>
        <w:t xml:space="preserve">? </w:t>
      </w:r>
    </w:p>
    <w:p w14:paraId="2E604484" w14:textId="77777777" w:rsidR="00763EDE" w:rsidRPr="00763EDE" w:rsidRDefault="00763EDE" w:rsidP="00763EDE">
      <w:pPr>
        <w:pStyle w:val="ListParagraph"/>
        <w:rPr>
          <w:b/>
          <w:bCs/>
          <w:sz w:val="23"/>
          <w:szCs w:val="23"/>
        </w:rPr>
      </w:pPr>
    </w:p>
    <w:p w14:paraId="581366F1" w14:textId="7F384230" w:rsidR="00826974" w:rsidRPr="00763EDE" w:rsidRDefault="008A2F1F" w:rsidP="00826974">
      <w:pPr>
        <w:pStyle w:val="ListParagraph"/>
        <w:numPr>
          <w:ilvl w:val="1"/>
          <w:numId w:val="2"/>
        </w:numPr>
        <w:rPr>
          <w:sz w:val="23"/>
          <w:szCs w:val="23"/>
        </w:rPr>
      </w:pPr>
      <w:r w:rsidRPr="00763EDE">
        <w:rPr>
          <w:sz w:val="23"/>
          <w:szCs w:val="23"/>
        </w:rPr>
        <w:t xml:space="preserve">Cornwall Council has a stock of over 10,000 </w:t>
      </w:r>
      <w:r w:rsidR="00E522DA" w:rsidRPr="00763EDE">
        <w:rPr>
          <w:sz w:val="23"/>
          <w:szCs w:val="23"/>
        </w:rPr>
        <w:t>low-cost</w:t>
      </w:r>
      <w:r w:rsidRPr="00763EDE">
        <w:rPr>
          <w:sz w:val="23"/>
          <w:szCs w:val="23"/>
        </w:rPr>
        <w:t xml:space="preserve"> rental homes</w:t>
      </w:r>
      <w:r w:rsidR="00BC2738" w:rsidRPr="00763EDE">
        <w:rPr>
          <w:sz w:val="23"/>
          <w:szCs w:val="23"/>
        </w:rPr>
        <w:t xml:space="preserve">, including </w:t>
      </w:r>
      <w:r w:rsidR="00E522DA" w:rsidRPr="00763EDE">
        <w:rPr>
          <w:sz w:val="23"/>
          <w:szCs w:val="23"/>
        </w:rPr>
        <w:t>just over</w:t>
      </w:r>
      <w:r w:rsidR="00BC2738" w:rsidRPr="00763EDE">
        <w:rPr>
          <w:sz w:val="23"/>
          <w:szCs w:val="23"/>
        </w:rPr>
        <w:t xml:space="preserve"> </w:t>
      </w:r>
      <w:r w:rsidR="00AF00B2" w:rsidRPr="00763EDE">
        <w:rPr>
          <w:sz w:val="23"/>
          <w:szCs w:val="23"/>
        </w:rPr>
        <w:t xml:space="preserve">50 Cornwall Housing social rent homes, </w:t>
      </w:r>
      <w:r w:rsidR="00E522DA" w:rsidRPr="00763EDE">
        <w:rPr>
          <w:sz w:val="23"/>
          <w:szCs w:val="23"/>
        </w:rPr>
        <w:t xml:space="preserve">and about </w:t>
      </w:r>
      <w:r w:rsidR="00953B67">
        <w:rPr>
          <w:sz w:val="23"/>
          <w:szCs w:val="23"/>
        </w:rPr>
        <w:t>56</w:t>
      </w:r>
      <w:r w:rsidR="00683132">
        <w:rPr>
          <w:sz w:val="23"/>
          <w:szCs w:val="23"/>
        </w:rPr>
        <w:t xml:space="preserve"> affordable rent homes</w:t>
      </w:r>
      <w:r w:rsidR="00E522DA" w:rsidRPr="00763EDE">
        <w:rPr>
          <w:sz w:val="23"/>
          <w:szCs w:val="23"/>
        </w:rPr>
        <w:t xml:space="preserve">. </w:t>
      </w:r>
      <w:r w:rsidR="00826974" w:rsidRPr="00763EDE">
        <w:rPr>
          <w:sz w:val="23"/>
          <w:szCs w:val="23"/>
        </w:rPr>
        <w:t xml:space="preserve">These have all been included in the pool of tenants to assess the tenant population for the satisfaction survey. </w:t>
      </w:r>
    </w:p>
    <w:p w14:paraId="04259066" w14:textId="77777777" w:rsidR="00763EDE" w:rsidRPr="00763EDE" w:rsidRDefault="00763EDE" w:rsidP="00763EDE">
      <w:pPr>
        <w:pStyle w:val="ListParagraph"/>
        <w:rPr>
          <w:sz w:val="23"/>
          <w:szCs w:val="23"/>
        </w:rPr>
      </w:pPr>
    </w:p>
    <w:p w14:paraId="7DEE5F61" w14:textId="6AA8FA75" w:rsidR="00E765EF" w:rsidRDefault="00826974" w:rsidP="00E765EF">
      <w:pPr>
        <w:pStyle w:val="ListParagraph"/>
        <w:numPr>
          <w:ilvl w:val="1"/>
          <w:numId w:val="2"/>
        </w:numPr>
        <w:rPr>
          <w:sz w:val="23"/>
          <w:szCs w:val="23"/>
        </w:rPr>
      </w:pPr>
      <w:r w:rsidRPr="00763EDE">
        <w:rPr>
          <w:sz w:val="23"/>
          <w:szCs w:val="23"/>
        </w:rPr>
        <w:t>The Council owns or leases a range of temporary accommodation.</w:t>
      </w:r>
      <w:r w:rsidR="00C00CCB" w:rsidRPr="00763EDE">
        <w:rPr>
          <w:sz w:val="23"/>
          <w:szCs w:val="23"/>
        </w:rPr>
        <w:t xml:space="preserve"> </w:t>
      </w:r>
      <w:r w:rsidR="00683132">
        <w:rPr>
          <w:sz w:val="23"/>
          <w:szCs w:val="23"/>
        </w:rPr>
        <w:t>By</w:t>
      </w:r>
      <w:r w:rsidRPr="00763EDE">
        <w:rPr>
          <w:sz w:val="23"/>
          <w:szCs w:val="23"/>
        </w:rPr>
        <w:t xml:space="preserve"> </w:t>
      </w:r>
      <w:r w:rsidR="002A1C63">
        <w:rPr>
          <w:sz w:val="23"/>
          <w:szCs w:val="23"/>
        </w:rPr>
        <w:t>December</w:t>
      </w:r>
      <w:r w:rsidR="00683132">
        <w:rPr>
          <w:sz w:val="23"/>
          <w:szCs w:val="23"/>
        </w:rPr>
        <w:t xml:space="preserve"> 24</w:t>
      </w:r>
      <w:r w:rsidRPr="00763EDE">
        <w:rPr>
          <w:sz w:val="23"/>
          <w:szCs w:val="23"/>
        </w:rPr>
        <w:t xml:space="preserve">, an assessment against the </w:t>
      </w:r>
      <w:r w:rsidR="00C00CCB" w:rsidRPr="00763EDE">
        <w:rPr>
          <w:sz w:val="23"/>
          <w:szCs w:val="23"/>
        </w:rPr>
        <w:t xml:space="preserve">Regulator eligibility </w:t>
      </w:r>
      <w:r w:rsidRPr="00763EDE">
        <w:rPr>
          <w:sz w:val="23"/>
          <w:szCs w:val="23"/>
        </w:rPr>
        <w:t>guidance</w:t>
      </w:r>
      <w:r w:rsidR="002A1C63">
        <w:rPr>
          <w:sz w:val="23"/>
          <w:szCs w:val="23"/>
        </w:rPr>
        <w:t xml:space="preserve"> identified</w:t>
      </w:r>
      <w:r w:rsidR="00683132">
        <w:rPr>
          <w:sz w:val="23"/>
          <w:szCs w:val="23"/>
        </w:rPr>
        <w:t xml:space="preserve"> for inclusion</w:t>
      </w:r>
      <w:r w:rsidR="002A1C63">
        <w:rPr>
          <w:sz w:val="23"/>
          <w:szCs w:val="23"/>
        </w:rPr>
        <w:t xml:space="preserve"> </w:t>
      </w:r>
      <w:r w:rsidR="00683132">
        <w:rPr>
          <w:sz w:val="23"/>
          <w:szCs w:val="23"/>
        </w:rPr>
        <w:t>70 homes, with 32 in the pipeline</w:t>
      </w:r>
      <w:r w:rsidR="00953B67">
        <w:rPr>
          <w:sz w:val="23"/>
          <w:szCs w:val="23"/>
        </w:rPr>
        <w:t xml:space="preserve"> but were not ready for let</w:t>
      </w:r>
      <w:r w:rsidR="00C00CCB" w:rsidRPr="00763EDE">
        <w:rPr>
          <w:sz w:val="23"/>
          <w:szCs w:val="23"/>
        </w:rPr>
        <w:t xml:space="preserve">.  </w:t>
      </w:r>
    </w:p>
    <w:p w14:paraId="7D694150" w14:textId="77777777" w:rsidR="00E765EF" w:rsidRPr="00E765EF" w:rsidRDefault="00E765EF" w:rsidP="00E765EF">
      <w:pPr>
        <w:pStyle w:val="ListParagraph"/>
        <w:rPr>
          <w:sz w:val="10"/>
          <w:szCs w:val="10"/>
        </w:rPr>
      </w:pPr>
    </w:p>
    <w:p w14:paraId="17A05854" w14:textId="77777777" w:rsidR="00E765EF" w:rsidRPr="00E765EF" w:rsidRDefault="00E765EF" w:rsidP="00E765EF">
      <w:pPr>
        <w:pStyle w:val="ListParagraph"/>
        <w:rPr>
          <w:sz w:val="4"/>
          <w:szCs w:val="4"/>
        </w:rPr>
      </w:pPr>
    </w:p>
    <w:p w14:paraId="1CDA8DBB" w14:textId="15C3F385" w:rsidR="008A2F1F" w:rsidRDefault="00E522DA" w:rsidP="00826974">
      <w:pPr>
        <w:pStyle w:val="ListParagraph"/>
        <w:numPr>
          <w:ilvl w:val="1"/>
          <w:numId w:val="2"/>
        </w:numPr>
        <w:rPr>
          <w:sz w:val="23"/>
          <w:szCs w:val="23"/>
        </w:rPr>
      </w:pPr>
      <w:r w:rsidRPr="00763EDE">
        <w:rPr>
          <w:sz w:val="23"/>
          <w:szCs w:val="23"/>
        </w:rPr>
        <w:t xml:space="preserve">The Council and Cornwall Housing </w:t>
      </w:r>
      <w:r w:rsidR="008A2F1F" w:rsidRPr="00763EDE">
        <w:rPr>
          <w:sz w:val="23"/>
          <w:szCs w:val="23"/>
        </w:rPr>
        <w:t xml:space="preserve">only </w:t>
      </w:r>
      <w:r w:rsidRPr="00763EDE">
        <w:rPr>
          <w:sz w:val="23"/>
          <w:szCs w:val="23"/>
        </w:rPr>
        <w:t xml:space="preserve">had </w:t>
      </w:r>
      <w:r w:rsidR="00683132">
        <w:rPr>
          <w:sz w:val="23"/>
          <w:szCs w:val="23"/>
        </w:rPr>
        <w:t>70</w:t>
      </w:r>
      <w:r w:rsidR="008A2F1F" w:rsidRPr="00763EDE">
        <w:rPr>
          <w:sz w:val="23"/>
          <w:szCs w:val="23"/>
        </w:rPr>
        <w:t xml:space="preserve"> </w:t>
      </w:r>
      <w:r w:rsidR="00032C17" w:rsidRPr="00763EDE">
        <w:rPr>
          <w:sz w:val="23"/>
          <w:szCs w:val="23"/>
        </w:rPr>
        <w:t>low-cost</w:t>
      </w:r>
      <w:r w:rsidR="008A2F1F" w:rsidRPr="00763EDE">
        <w:rPr>
          <w:sz w:val="23"/>
          <w:szCs w:val="23"/>
        </w:rPr>
        <w:t xml:space="preserve"> home ownership </w:t>
      </w:r>
      <w:r w:rsidR="00032C17">
        <w:rPr>
          <w:sz w:val="23"/>
          <w:szCs w:val="23"/>
        </w:rPr>
        <w:t xml:space="preserve">homes </w:t>
      </w:r>
      <w:r w:rsidR="008A2F1F" w:rsidRPr="00763EDE">
        <w:rPr>
          <w:sz w:val="23"/>
          <w:szCs w:val="23"/>
        </w:rPr>
        <w:t xml:space="preserve">(shared ownership) – </w:t>
      </w:r>
      <w:r w:rsidR="008A2F1F" w:rsidRPr="00AA678B">
        <w:rPr>
          <w:sz w:val="23"/>
          <w:szCs w:val="23"/>
        </w:rPr>
        <w:t>therefore we have excluded the</w:t>
      </w:r>
      <w:r w:rsidR="00032C17" w:rsidRPr="00AA678B">
        <w:rPr>
          <w:sz w:val="23"/>
          <w:szCs w:val="23"/>
        </w:rPr>
        <w:t xml:space="preserve">se </w:t>
      </w:r>
      <w:r w:rsidR="008A2F1F" w:rsidRPr="00AA678B">
        <w:rPr>
          <w:sz w:val="23"/>
          <w:szCs w:val="23"/>
        </w:rPr>
        <w:t xml:space="preserve">from the </w:t>
      </w:r>
      <w:r w:rsidR="00BC2738" w:rsidRPr="00AA678B">
        <w:rPr>
          <w:sz w:val="23"/>
          <w:szCs w:val="23"/>
        </w:rPr>
        <w:t xml:space="preserve">survey </w:t>
      </w:r>
      <w:r w:rsidR="008A2F1F" w:rsidRPr="00AA678B">
        <w:rPr>
          <w:sz w:val="23"/>
          <w:szCs w:val="23"/>
        </w:rPr>
        <w:t>sample in line with Regulator guidance.</w:t>
      </w:r>
      <w:r w:rsidR="008A2F1F" w:rsidRPr="00AA678B">
        <w:rPr>
          <w:rStyle w:val="FootnoteReference"/>
          <w:sz w:val="23"/>
          <w:szCs w:val="23"/>
        </w:rPr>
        <w:footnoteReference w:id="1"/>
      </w:r>
    </w:p>
    <w:p w14:paraId="5F7ABAC0" w14:textId="77777777" w:rsidR="00380CD3" w:rsidRPr="00763EDE" w:rsidRDefault="00380CD3" w:rsidP="00380CD3">
      <w:pPr>
        <w:pStyle w:val="ListParagraph"/>
        <w:rPr>
          <w:sz w:val="23"/>
          <w:szCs w:val="23"/>
        </w:rPr>
      </w:pPr>
    </w:p>
    <w:p w14:paraId="727BBC04" w14:textId="68B5142E" w:rsidR="00295973" w:rsidRPr="00763EDE" w:rsidRDefault="00AF00B2" w:rsidP="00C00CCB">
      <w:pPr>
        <w:pStyle w:val="ListParagraph"/>
        <w:numPr>
          <w:ilvl w:val="0"/>
          <w:numId w:val="2"/>
        </w:numPr>
        <w:rPr>
          <w:b/>
          <w:bCs/>
          <w:sz w:val="23"/>
          <w:szCs w:val="23"/>
        </w:rPr>
      </w:pPr>
      <w:r w:rsidRPr="00763EDE">
        <w:rPr>
          <w:b/>
          <w:bCs/>
          <w:sz w:val="23"/>
          <w:szCs w:val="23"/>
        </w:rPr>
        <w:t>Our</w:t>
      </w:r>
      <w:r w:rsidR="003934EF" w:rsidRPr="00763EDE">
        <w:rPr>
          <w:b/>
          <w:bCs/>
          <w:sz w:val="23"/>
          <w:szCs w:val="23"/>
        </w:rPr>
        <w:t xml:space="preserve"> survey approach for the</w:t>
      </w:r>
      <w:r w:rsidRPr="00763EDE">
        <w:rPr>
          <w:b/>
          <w:bCs/>
          <w:sz w:val="23"/>
          <w:szCs w:val="23"/>
        </w:rPr>
        <w:t xml:space="preserve"> ‘Your Call’ Tenant </w:t>
      </w:r>
      <w:r w:rsidR="00365A5F">
        <w:rPr>
          <w:b/>
          <w:bCs/>
          <w:sz w:val="23"/>
          <w:szCs w:val="23"/>
        </w:rPr>
        <w:t>S</w:t>
      </w:r>
      <w:r w:rsidRPr="00763EDE">
        <w:rPr>
          <w:b/>
          <w:bCs/>
          <w:sz w:val="23"/>
          <w:szCs w:val="23"/>
        </w:rPr>
        <w:t xml:space="preserve">atisfaction </w:t>
      </w:r>
      <w:r w:rsidR="00365A5F">
        <w:rPr>
          <w:b/>
          <w:bCs/>
          <w:sz w:val="23"/>
          <w:szCs w:val="23"/>
        </w:rPr>
        <w:t>M</w:t>
      </w:r>
      <w:r w:rsidRPr="00763EDE">
        <w:rPr>
          <w:b/>
          <w:bCs/>
          <w:sz w:val="23"/>
          <w:szCs w:val="23"/>
        </w:rPr>
        <w:t xml:space="preserve">easures </w:t>
      </w:r>
    </w:p>
    <w:p w14:paraId="70D11154" w14:textId="77777777" w:rsidR="00C00CCB" w:rsidRPr="00763EDE" w:rsidRDefault="00C00CCB" w:rsidP="00C00CCB">
      <w:pPr>
        <w:pStyle w:val="ListParagraph"/>
        <w:rPr>
          <w:b/>
          <w:bCs/>
          <w:sz w:val="23"/>
          <w:szCs w:val="23"/>
        </w:rPr>
      </w:pPr>
    </w:p>
    <w:p w14:paraId="0604BE2D" w14:textId="2C52BBF9" w:rsidR="00C00CCB" w:rsidRPr="00763EDE" w:rsidRDefault="00295973" w:rsidP="00C00CCB">
      <w:pPr>
        <w:pStyle w:val="ListParagraph"/>
        <w:numPr>
          <w:ilvl w:val="1"/>
          <w:numId w:val="2"/>
        </w:numPr>
        <w:rPr>
          <w:sz w:val="23"/>
          <w:szCs w:val="23"/>
        </w:rPr>
      </w:pPr>
      <w:r w:rsidRPr="00763EDE">
        <w:rPr>
          <w:sz w:val="23"/>
          <w:szCs w:val="23"/>
        </w:rPr>
        <w:t xml:space="preserve">We commissioned Acuity Research and Practice to undertake a </w:t>
      </w:r>
      <w:r w:rsidR="004C6EDE" w:rsidRPr="00763EDE">
        <w:rPr>
          <w:sz w:val="23"/>
          <w:szCs w:val="23"/>
        </w:rPr>
        <w:t xml:space="preserve">rolling </w:t>
      </w:r>
      <w:r w:rsidRPr="00763EDE">
        <w:rPr>
          <w:sz w:val="23"/>
          <w:szCs w:val="23"/>
        </w:rPr>
        <w:t xml:space="preserve">monthly </w:t>
      </w:r>
      <w:r w:rsidR="00AF00B2" w:rsidRPr="00763EDE">
        <w:rPr>
          <w:sz w:val="23"/>
          <w:szCs w:val="23"/>
        </w:rPr>
        <w:t xml:space="preserve">sample </w:t>
      </w:r>
      <w:r w:rsidR="004C6EDE" w:rsidRPr="00763EDE">
        <w:rPr>
          <w:sz w:val="23"/>
          <w:szCs w:val="23"/>
        </w:rPr>
        <w:t>survey</w:t>
      </w:r>
      <w:r w:rsidRPr="00763EDE">
        <w:rPr>
          <w:sz w:val="23"/>
          <w:szCs w:val="23"/>
        </w:rPr>
        <w:t>, primarily by telephone</w:t>
      </w:r>
      <w:r w:rsidR="00E522DA" w:rsidRPr="00763EDE">
        <w:rPr>
          <w:sz w:val="23"/>
          <w:szCs w:val="23"/>
        </w:rPr>
        <w:t xml:space="preserve"> with the option of an online link via email to be sent to the interviewer</w:t>
      </w:r>
      <w:r w:rsidRPr="00763EDE">
        <w:rPr>
          <w:sz w:val="23"/>
          <w:szCs w:val="23"/>
        </w:rPr>
        <w:t xml:space="preserve">. </w:t>
      </w:r>
      <w:r w:rsidR="00E522DA" w:rsidRPr="00763EDE">
        <w:rPr>
          <w:sz w:val="23"/>
          <w:szCs w:val="23"/>
        </w:rPr>
        <w:t xml:space="preserve">Their role was to collect, generate, and validate reported perception measures. We also asked them to flag any urgent safety concerns directly to us. </w:t>
      </w:r>
    </w:p>
    <w:p w14:paraId="160378A7" w14:textId="77777777" w:rsidR="00C00CCB" w:rsidRPr="00763EDE" w:rsidRDefault="00C00CCB" w:rsidP="00C00CCB">
      <w:pPr>
        <w:pStyle w:val="ListParagraph"/>
        <w:rPr>
          <w:sz w:val="23"/>
          <w:szCs w:val="23"/>
        </w:rPr>
      </w:pPr>
    </w:p>
    <w:p w14:paraId="34FA46FB" w14:textId="13BC1302" w:rsidR="00C00CCB" w:rsidRPr="00763EDE" w:rsidRDefault="00AF00B2" w:rsidP="00C00CCB">
      <w:pPr>
        <w:pStyle w:val="ListParagraph"/>
        <w:numPr>
          <w:ilvl w:val="1"/>
          <w:numId w:val="2"/>
        </w:numPr>
        <w:rPr>
          <w:sz w:val="23"/>
          <w:szCs w:val="23"/>
        </w:rPr>
      </w:pPr>
      <w:r w:rsidRPr="00763EDE">
        <w:rPr>
          <w:sz w:val="23"/>
          <w:szCs w:val="23"/>
        </w:rPr>
        <w:t>We asked them to engage at least 1000 tenants in total, who are representative of the whole tenant body on the c</w:t>
      </w:r>
      <w:r w:rsidR="00DD17DF" w:rsidRPr="00763EDE">
        <w:rPr>
          <w:sz w:val="23"/>
          <w:szCs w:val="23"/>
        </w:rPr>
        <w:t>ategories</w:t>
      </w:r>
      <w:r w:rsidRPr="00763EDE">
        <w:rPr>
          <w:sz w:val="23"/>
          <w:szCs w:val="23"/>
        </w:rPr>
        <w:t xml:space="preserve"> of age, area, and tenure type. </w:t>
      </w:r>
      <w:r w:rsidR="003934EF" w:rsidRPr="00763EDE">
        <w:rPr>
          <w:sz w:val="23"/>
          <w:szCs w:val="23"/>
        </w:rPr>
        <w:t xml:space="preserve">This sample method is called ‘Random, stratified with quotas’. </w:t>
      </w:r>
    </w:p>
    <w:p w14:paraId="3131F7B0" w14:textId="77777777" w:rsidR="00C00CCB" w:rsidRPr="00763EDE" w:rsidRDefault="00C00CCB" w:rsidP="00C00CCB">
      <w:pPr>
        <w:pStyle w:val="ListParagraph"/>
        <w:rPr>
          <w:sz w:val="23"/>
          <w:szCs w:val="23"/>
        </w:rPr>
      </w:pPr>
    </w:p>
    <w:p w14:paraId="5A8B9CCD" w14:textId="1BBAF5CD" w:rsidR="00994751" w:rsidRDefault="00994751" w:rsidP="00C00CCB">
      <w:pPr>
        <w:pStyle w:val="ListParagraph"/>
        <w:numPr>
          <w:ilvl w:val="1"/>
          <w:numId w:val="2"/>
        </w:numPr>
        <w:rPr>
          <w:sz w:val="23"/>
          <w:szCs w:val="23"/>
        </w:rPr>
      </w:pPr>
      <w:r>
        <w:rPr>
          <w:sz w:val="23"/>
          <w:szCs w:val="23"/>
        </w:rPr>
        <w:lastRenderedPageBreak/>
        <w:t xml:space="preserve">In </w:t>
      </w:r>
      <w:r w:rsidRPr="00BD290B">
        <w:rPr>
          <w:sz w:val="23"/>
          <w:szCs w:val="23"/>
        </w:rPr>
        <w:t>line with regulator guidance, incomplete surveys have been included.</w:t>
      </w:r>
      <w:r>
        <w:rPr>
          <w:sz w:val="23"/>
          <w:szCs w:val="23"/>
        </w:rPr>
        <w:t xml:space="preserve"> </w:t>
      </w:r>
    </w:p>
    <w:p w14:paraId="04AF6A81" w14:textId="77777777" w:rsidR="00994751" w:rsidRDefault="00994751" w:rsidP="00994751">
      <w:pPr>
        <w:pStyle w:val="ListParagraph"/>
        <w:rPr>
          <w:sz w:val="23"/>
          <w:szCs w:val="23"/>
        </w:rPr>
      </w:pPr>
    </w:p>
    <w:p w14:paraId="11592397" w14:textId="219707D7" w:rsidR="00C00CCB" w:rsidRPr="00763EDE" w:rsidRDefault="00C65336" w:rsidP="00C00CCB">
      <w:pPr>
        <w:pStyle w:val="ListParagraph"/>
        <w:numPr>
          <w:ilvl w:val="1"/>
          <w:numId w:val="2"/>
        </w:numPr>
        <w:rPr>
          <w:sz w:val="23"/>
          <w:szCs w:val="23"/>
        </w:rPr>
      </w:pPr>
      <w:r w:rsidRPr="00763EDE">
        <w:rPr>
          <w:sz w:val="23"/>
          <w:szCs w:val="23"/>
        </w:rPr>
        <w:t xml:space="preserve">All social rent tenants were </w:t>
      </w:r>
      <w:r w:rsidRPr="00571ECF">
        <w:rPr>
          <w:sz w:val="23"/>
          <w:szCs w:val="23"/>
        </w:rPr>
        <w:t xml:space="preserve">included in the sample frame, and residents who have requested </w:t>
      </w:r>
      <w:r w:rsidR="00AC74F4" w:rsidRPr="00571ECF">
        <w:rPr>
          <w:sz w:val="23"/>
          <w:szCs w:val="23"/>
        </w:rPr>
        <w:t xml:space="preserve">no surveys </w:t>
      </w:r>
      <w:r w:rsidRPr="00571ECF">
        <w:rPr>
          <w:sz w:val="23"/>
          <w:szCs w:val="23"/>
        </w:rPr>
        <w:t xml:space="preserve">were removed from the call </w:t>
      </w:r>
      <w:r w:rsidRPr="00AA678B">
        <w:rPr>
          <w:sz w:val="23"/>
          <w:szCs w:val="23"/>
        </w:rPr>
        <w:t>base</w:t>
      </w:r>
      <w:r w:rsidR="00AC74F4" w:rsidRPr="00AA678B">
        <w:rPr>
          <w:sz w:val="23"/>
          <w:szCs w:val="23"/>
        </w:rPr>
        <w:t xml:space="preserve"> (</w:t>
      </w:r>
      <w:r w:rsidR="00AA678B" w:rsidRPr="00AA678B">
        <w:rPr>
          <w:sz w:val="23"/>
          <w:szCs w:val="23"/>
        </w:rPr>
        <w:t>486</w:t>
      </w:r>
      <w:r w:rsidR="00AC74F4" w:rsidRPr="00AA678B">
        <w:rPr>
          <w:sz w:val="23"/>
          <w:szCs w:val="23"/>
        </w:rPr>
        <w:t>)</w:t>
      </w:r>
      <w:r w:rsidRPr="00AA678B">
        <w:rPr>
          <w:sz w:val="23"/>
          <w:szCs w:val="23"/>
        </w:rPr>
        <w:t>.</w:t>
      </w:r>
      <w:r w:rsidRPr="00763EDE">
        <w:rPr>
          <w:sz w:val="23"/>
          <w:szCs w:val="23"/>
        </w:rPr>
        <w:t xml:space="preserve"> </w:t>
      </w:r>
    </w:p>
    <w:p w14:paraId="50DB9A52" w14:textId="77777777" w:rsidR="00C00CCB" w:rsidRPr="00763EDE" w:rsidRDefault="00C00CCB" w:rsidP="00C00CCB">
      <w:pPr>
        <w:pStyle w:val="ListParagraph"/>
        <w:rPr>
          <w:sz w:val="23"/>
          <w:szCs w:val="23"/>
        </w:rPr>
      </w:pPr>
    </w:p>
    <w:p w14:paraId="357B8DAC" w14:textId="424DDE82" w:rsidR="00003F6E" w:rsidRPr="007E1ACD" w:rsidRDefault="00003F6E" w:rsidP="003B3430">
      <w:pPr>
        <w:pStyle w:val="ListParagraph"/>
        <w:numPr>
          <w:ilvl w:val="1"/>
          <w:numId w:val="2"/>
        </w:numPr>
        <w:rPr>
          <w:sz w:val="23"/>
          <w:szCs w:val="23"/>
        </w:rPr>
      </w:pPr>
      <w:r w:rsidRPr="007E1ACD">
        <w:rPr>
          <w:sz w:val="23"/>
          <w:szCs w:val="23"/>
        </w:rPr>
        <w:t xml:space="preserve">In February 25 we/Acuity randomly selected 2 tenants </w:t>
      </w:r>
      <w:r w:rsidR="007E1ACD" w:rsidRPr="007E1ACD">
        <w:rPr>
          <w:sz w:val="23"/>
          <w:szCs w:val="23"/>
        </w:rPr>
        <w:t xml:space="preserve">from </w:t>
      </w:r>
      <w:r w:rsidRPr="007E1ACD">
        <w:rPr>
          <w:sz w:val="23"/>
          <w:szCs w:val="23"/>
        </w:rPr>
        <w:t>our supported accommodation</w:t>
      </w:r>
      <w:r w:rsidR="007E1ACD" w:rsidRPr="007E1ACD">
        <w:rPr>
          <w:sz w:val="23"/>
          <w:szCs w:val="23"/>
        </w:rPr>
        <w:t xml:space="preserve">. </w:t>
      </w:r>
      <w:r w:rsidRPr="007E1ACD">
        <w:rPr>
          <w:sz w:val="23"/>
          <w:szCs w:val="23"/>
        </w:rPr>
        <w:t>These were interviewed by specialist staff face to face</w:t>
      </w:r>
      <w:r w:rsidR="007E1ACD" w:rsidRPr="007E1ACD">
        <w:rPr>
          <w:sz w:val="23"/>
          <w:szCs w:val="23"/>
        </w:rPr>
        <w:t xml:space="preserve">. </w:t>
      </w:r>
      <w:r w:rsidRPr="007E1ACD">
        <w:rPr>
          <w:sz w:val="23"/>
          <w:szCs w:val="23"/>
        </w:rPr>
        <w:t xml:space="preserve">Survey responses were provided back to Acuity for inclusion in the overall data. </w:t>
      </w:r>
    </w:p>
    <w:p w14:paraId="7B0BEB56" w14:textId="77777777" w:rsidR="00003F6E" w:rsidRDefault="00003F6E" w:rsidP="00003F6E">
      <w:pPr>
        <w:pStyle w:val="ListParagraph"/>
        <w:rPr>
          <w:sz w:val="23"/>
          <w:szCs w:val="23"/>
        </w:rPr>
      </w:pPr>
    </w:p>
    <w:p w14:paraId="07C54F71" w14:textId="422C3860" w:rsidR="00365A5F" w:rsidRPr="003B3430" w:rsidRDefault="00AF00B2" w:rsidP="003B3430">
      <w:pPr>
        <w:pStyle w:val="ListParagraph"/>
        <w:numPr>
          <w:ilvl w:val="1"/>
          <w:numId w:val="2"/>
        </w:numPr>
        <w:rPr>
          <w:sz w:val="23"/>
          <w:szCs w:val="23"/>
        </w:rPr>
      </w:pPr>
      <w:r w:rsidRPr="00763EDE">
        <w:rPr>
          <w:sz w:val="23"/>
          <w:szCs w:val="23"/>
        </w:rPr>
        <w:t>We promoted the</w:t>
      </w:r>
      <w:r w:rsidR="00C65336" w:rsidRPr="00763EDE">
        <w:rPr>
          <w:sz w:val="23"/>
          <w:szCs w:val="23"/>
        </w:rPr>
        <w:t xml:space="preserve"> ‘Your Call’ TSMs survey on our website, social media and in our magazine. It includes the incentive of entry into a free prize draw for £100 supermarket voucher. This is pulled every three months from the </w:t>
      </w:r>
      <w:r w:rsidR="006920BE">
        <w:rPr>
          <w:sz w:val="23"/>
          <w:szCs w:val="23"/>
        </w:rPr>
        <w:t>&gt;</w:t>
      </w:r>
      <w:r w:rsidR="00C65336" w:rsidRPr="00763EDE">
        <w:rPr>
          <w:sz w:val="23"/>
          <w:szCs w:val="23"/>
        </w:rPr>
        <w:t xml:space="preserve">250 that have participated that quarter. </w:t>
      </w:r>
      <w:r w:rsidRPr="00763EDE">
        <w:rPr>
          <w:sz w:val="23"/>
          <w:szCs w:val="23"/>
        </w:rPr>
        <w:t>Winners</w:t>
      </w:r>
      <w:r w:rsidR="00E522DA" w:rsidRPr="00763EDE">
        <w:rPr>
          <w:sz w:val="23"/>
          <w:szCs w:val="23"/>
        </w:rPr>
        <w:t>’</w:t>
      </w:r>
      <w:r w:rsidRPr="00763EDE">
        <w:rPr>
          <w:sz w:val="23"/>
          <w:szCs w:val="23"/>
        </w:rPr>
        <w:t xml:space="preserve"> photographs are published on the website and in the resident magazine. </w:t>
      </w:r>
    </w:p>
    <w:p w14:paraId="5DCFCBAB" w14:textId="77777777" w:rsidR="00365A5F" w:rsidRPr="00365A5F" w:rsidRDefault="00365A5F" w:rsidP="00365A5F">
      <w:pPr>
        <w:pStyle w:val="ListParagraph"/>
        <w:rPr>
          <w:sz w:val="23"/>
          <w:szCs w:val="23"/>
        </w:rPr>
      </w:pPr>
    </w:p>
    <w:p w14:paraId="5727563E" w14:textId="3AC2F927" w:rsidR="00C00CCB" w:rsidRPr="007E1ACD" w:rsidRDefault="00FE564A" w:rsidP="00C00CCB">
      <w:pPr>
        <w:pStyle w:val="ListParagraph"/>
        <w:numPr>
          <w:ilvl w:val="1"/>
          <w:numId w:val="2"/>
        </w:numPr>
        <w:rPr>
          <w:sz w:val="23"/>
          <w:szCs w:val="23"/>
        </w:rPr>
      </w:pPr>
      <w:r w:rsidRPr="007E1ACD">
        <w:rPr>
          <w:sz w:val="23"/>
          <w:szCs w:val="23"/>
        </w:rPr>
        <w:t>103</w:t>
      </w:r>
      <w:r w:rsidR="007E1ACD" w:rsidRPr="007E1ACD">
        <w:rPr>
          <w:sz w:val="23"/>
          <w:szCs w:val="23"/>
        </w:rPr>
        <w:t>7</w:t>
      </w:r>
      <w:r w:rsidRPr="007E1ACD">
        <w:rPr>
          <w:sz w:val="23"/>
          <w:szCs w:val="23"/>
        </w:rPr>
        <w:t xml:space="preserve"> tenants took part – 10</w:t>
      </w:r>
      <w:r w:rsidR="007E1ACD" w:rsidRPr="007E1ACD">
        <w:rPr>
          <w:sz w:val="23"/>
          <w:szCs w:val="23"/>
        </w:rPr>
        <w:t>34</w:t>
      </w:r>
      <w:r w:rsidRPr="007E1ACD">
        <w:rPr>
          <w:sz w:val="23"/>
          <w:szCs w:val="23"/>
        </w:rPr>
        <w:t xml:space="preserve"> by phone and 1 online</w:t>
      </w:r>
      <w:r w:rsidR="00003F6E" w:rsidRPr="007E1ACD">
        <w:rPr>
          <w:sz w:val="23"/>
          <w:szCs w:val="23"/>
        </w:rPr>
        <w:t xml:space="preserve"> and </w:t>
      </w:r>
      <w:r w:rsidR="007E1ACD" w:rsidRPr="007E1ACD">
        <w:rPr>
          <w:sz w:val="23"/>
          <w:szCs w:val="23"/>
        </w:rPr>
        <w:t>2</w:t>
      </w:r>
      <w:r w:rsidR="00003F6E" w:rsidRPr="007E1ACD">
        <w:rPr>
          <w:sz w:val="23"/>
          <w:szCs w:val="23"/>
        </w:rPr>
        <w:t xml:space="preserve"> face-to-face</w:t>
      </w:r>
      <w:r w:rsidR="00E522DA" w:rsidRPr="007E1ACD">
        <w:rPr>
          <w:sz w:val="23"/>
          <w:szCs w:val="23"/>
        </w:rPr>
        <w:t xml:space="preserve">. The first survey was on </w:t>
      </w:r>
      <w:r w:rsidR="007E1ACD" w:rsidRPr="007E1ACD">
        <w:rPr>
          <w:sz w:val="23"/>
          <w:szCs w:val="23"/>
        </w:rPr>
        <w:t>2</w:t>
      </w:r>
      <w:r w:rsidR="00E522DA" w:rsidRPr="007E1ACD">
        <w:rPr>
          <w:sz w:val="23"/>
          <w:szCs w:val="23"/>
        </w:rPr>
        <w:t xml:space="preserve"> April 202</w:t>
      </w:r>
      <w:r w:rsidR="00683132" w:rsidRPr="007E1ACD">
        <w:rPr>
          <w:sz w:val="23"/>
          <w:szCs w:val="23"/>
        </w:rPr>
        <w:t>4</w:t>
      </w:r>
      <w:r w:rsidR="00E522DA" w:rsidRPr="007E1ACD">
        <w:rPr>
          <w:sz w:val="23"/>
          <w:szCs w:val="23"/>
        </w:rPr>
        <w:t xml:space="preserve"> and the last survey </w:t>
      </w:r>
      <w:r w:rsidR="007E1ACD" w:rsidRPr="007E1ACD">
        <w:rPr>
          <w:sz w:val="23"/>
          <w:szCs w:val="23"/>
        </w:rPr>
        <w:t>18</w:t>
      </w:r>
      <w:r w:rsidR="00E522DA" w:rsidRPr="007E1ACD">
        <w:rPr>
          <w:sz w:val="23"/>
          <w:szCs w:val="23"/>
        </w:rPr>
        <w:t xml:space="preserve"> March 202</w:t>
      </w:r>
      <w:r w:rsidR="00683132" w:rsidRPr="007E1ACD">
        <w:rPr>
          <w:sz w:val="23"/>
          <w:szCs w:val="23"/>
        </w:rPr>
        <w:t>5</w:t>
      </w:r>
      <w:r w:rsidR="00E522DA" w:rsidRPr="007E1ACD">
        <w:rPr>
          <w:sz w:val="23"/>
          <w:szCs w:val="23"/>
        </w:rPr>
        <w:t>.</w:t>
      </w:r>
    </w:p>
    <w:p w14:paraId="6DCED15F" w14:textId="77777777" w:rsidR="00C00CCB" w:rsidRPr="00763EDE" w:rsidRDefault="00C00CCB" w:rsidP="00C00CCB">
      <w:pPr>
        <w:pStyle w:val="ListParagraph"/>
        <w:rPr>
          <w:sz w:val="23"/>
          <w:szCs w:val="23"/>
        </w:rPr>
      </w:pPr>
    </w:p>
    <w:p w14:paraId="09572E55" w14:textId="70991FE8" w:rsidR="00C00CCB" w:rsidRPr="007E1ACD" w:rsidRDefault="00B663E7" w:rsidP="00C00CCB">
      <w:pPr>
        <w:pStyle w:val="ListParagraph"/>
        <w:numPr>
          <w:ilvl w:val="1"/>
          <w:numId w:val="2"/>
        </w:numPr>
        <w:rPr>
          <w:sz w:val="23"/>
          <w:szCs w:val="23"/>
        </w:rPr>
      </w:pPr>
      <w:r w:rsidRPr="00763EDE">
        <w:rPr>
          <w:sz w:val="23"/>
          <w:szCs w:val="23"/>
        </w:rPr>
        <w:t xml:space="preserve">This has provided a margin of </w:t>
      </w:r>
      <w:r w:rsidRPr="007E1ACD">
        <w:rPr>
          <w:sz w:val="23"/>
          <w:szCs w:val="23"/>
        </w:rPr>
        <w:t xml:space="preserve">error of +/-2.9% at 95% confidence level, meeting the requirement of at least +/- 3%.  </w:t>
      </w:r>
    </w:p>
    <w:p w14:paraId="3D6A0DDA" w14:textId="77777777" w:rsidR="00C00CCB" w:rsidRPr="00763EDE" w:rsidRDefault="00C00CCB" w:rsidP="00C00CCB">
      <w:pPr>
        <w:pStyle w:val="ListParagraph"/>
        <w:rPr>
          <w:sz w:val="23"/>
          <w:szCs w:val="23"/>
        </w:rPr>
      </w:pPr>
    </w:p>
    <w:p w14:paraId="03143E9C" w14:textId="4D6D4568" w:rsidR="00232AE1" w:rsidRPr="007E1ACD" w:rsidRDefault="00FE564A" w:rsidP="00232AE1">
      <w:pPr>
        <w:pStyle w:val="ListParagraph"/>
        <w:numPr>
          <w:ilvl w:val="1"/>
          <w:numId w:val="2"/>
        </w:numPr>
      </w:pPr>
      <w:r w:rsidRPr="007E1ACD">
        <w:rPr>
          <w:sz w:val="23"/>
          <w:szCs w:val="23"/>
        </w:rPr>
        <w:t xml:space="preserve">Our satisfaction </w:t>
      </w:r>
      <w:r w:rsidR="00E522DA" w:rsidRPr="007E1ACD">
        <w:rPr>
          <w:sz w:val="23"/>
          <w:szCs w:val="23"/>
        </w:rPr>
        <w:t>results</w:t>
      </w:r>
      <w:r w:rsidRPr="007E1ACD">
        <w:rPr>
          <w:sz w:val="23"/>
          <w:szCs w:val="23"/>
        </w:rPr>
        <w:t xml:space="preserve"> have been calculated using unweighted data</w:t>
      </w:r>
      <w:r w:rsidR="000A3D97" w:rsidRPr="007E1ACD">
        <w:rPr>
          <w:sz w:val="23"/>
          <w:szCs w:val="23"/>
        </w:rPr>
        <w:t xml:space="preserve">, and are rounded to </w:t>
      </w:r>
      <w:r w:rsidR="00683132" w:rsidRPr="007E1ACD">
        <w:rPr>
          <w:sz w:val="23"/>
          <w:szCs w:val="23"/>
        </w:rPr>
        <w:t xml:space="preserve">the first decimal place. </w:t>
      </w:r>
      <w:r w:rsidR="000A3D97" w:rsidRPr="007E1ACD">
        <w:rPr>
          <w:sz w:val="23"/>
          <w:szCs w:val="23"/>
        </w:rPr>
        <w:t xml:space="preserve"> </w:t>
      </w:r>
    </w:p>
    <w:p w14:paraId="144295E0" w14:textId="77777777" w:rsidR="00232AE1" w:rsidRDefault="00232AE1" w:rsidP="00232AE1">
      <w:pPr>
        <w:pStyle w:val="ListParagraph"/>
      </w:pPr>
    </w:p>
    <w:p w14:paraId="75493351" w14:textId="77777777" w:rsidR="00232AE1" w:rsidRPr="00763EDE" w:rsidRDefault="00232AE1" w:rsidP="00232AE1">
      <w:pPr>
        <w:pStyle w:val="ListParagraph"/>
      </w:pPr>
    </w:p>
    <w:p w14:paraId="31106885" w14:textId="0CF41E38" w:rsidR="00365A5F" w:rsidRPr="00911FBB" w:rsidRDefault="00365A5F" w:rsidP="00C00CCB">
      <w:pPr>
        <w:pStyle w:val="ListParagraph"/>
        <w:numPr>
          <w:ilvl w:val="0"/>
          <w:numId w:val="2"/>
        </w:numPr>
        <w:rPr>
          <w:sz w:val="24"/>
          <w:szCs w:val="24"/>
        </w:rPr>
      </w:pPr>
      <w:r>
        <w:rPr>
          <w:b/>
          <w:bCs/>
          <w:sz w:val="24"/>
          <w:szCs w:val="24"/>
        </w:rPr>
        <w:t xml:space="preserve">How many tenants took part in the questions with a pre-qualifying question? </w:t>
      </w:r>
    </w:p>
    <w:p w14:paraId="0C380B9C" w14:textId="5CA15F6A" w:rsidR="00911FBB" w:rsidRDefault="00911FBB" w:rsidP="00911FBB">
      <w:pPr>
        <w:pStyle w:val="ListParagraph"/>
        <w:rPr>
          <w:sz w:val="24"/>
          <w:szCs w:val="24"/>
        </w:rPr>
      </w:pPr>
      <w:r>
        <w:rPr>
          <w:sz w:val="24"/>
          <w:szCs w:val="24"/>
        </w:rPr>
        <w:t>Some questions in the TSM’s have a ‘pre-qualifying question’</w:t>
      </w:r>
      <w:r w:rsidR="00F872BA">
        <w:rPr>
          <w:sz w:val="24"/>
          <w:szCs w:val="24"/>
        </w:rPr>
        <w:t>. F</w:t>
      </w:r>
      <w:r>
        <w:rPr>
          <w:sz w:val="24"/>
          <w:szCs w:val="24"/>
        </w:rPr>
        <w:t xml:space="preserve">irst </w:t>
      </w:r>
      <w:r w:rsidR="00F872BA">
        <w:rPr>
          <w:sz w:val="24"/>
          <w:szCs w:val="24"/>
        </w:rPr>
        <w:t xml:space="preserve">a tenant is </w:t>
      </w:r>
      <w:r>
        <w:rPr>
          <w:sz w:val="24"/>
          <w:szCs w:val="24"/>
        </w:rPr>
        <w:t>ask</w:t>
      </w:r>
      <w:r w:rsidR="00F872BA">
        <w:rPr>
          <w:sz w:val="24"/>
          <w:szCs w:val="24"/>
        </w:rPr>
        <w:t>ed</w:t>
      </w:r>
      <w:r>
        <w:rPr>
          <w:sz w:val="24"/>
          <w:szCs w:val="24"/>
        </w:rPr>
        <w:t xml:space="preserve"> if you have experience</w:t>
      </w:r>
      <w:r w:rsidR="00F872BA">
        <w:rPr>
          <w:sz w:val="24"/>
          <w:szCs w:val="24"/>
        </w:rPr>
        <w:t>d</w:t>
      </w:r>
      <w:r>
        <w:rPr>
          <w:sz w:val="24"/>
          <w:szCs w:val="24"/>
        </w:rPr>
        <w:t xml:space="preserve"> that service recently or if it is applicable</w:t>
      </w:r>
      <w:r w:rsidR="00F872BA">
        <w:rPr>
          <w:sz w:val="24"/>
          <w:szCs w:val="24"/>
        </w:rPr>
        <w:t>. T</w:t>
      </w:r>
      <w:r>
        <w:rPr>
          <w:sz w:val="24"/>
          <w:szCs w:val="24"/>
        </w:rPr>
        <w:t xml:space="preserve">he number of tenants who said yes to the pre-qualifying questions and answered the relevant TSM are as follows: </w:t>
      </w:r>
    </w:p>
    <w:p w14:paraId="789183B8" w14:textId="0177173E" w:rsidR="00911FBB" w:rsidRDefault="00911FBB" w:rsidP="00911FBB">
      <w:pPr>
        <w:pStyle w:val="ListParagraph"/>
        <w:rPr>
          <w:sz w:val="24"/>
          <w:szCs w:val="24"/>
        </w:rPr>
      </w:pPr>
    </w:p>
    <w:tbl>
      <w:tblPr>
        <w:tblStyle w:val="TableGrid"/>
        <w:tblW w:w="0" w:type="auto"/>
        <w:tblInd w:w="720" w:type="dxa"/>
        <w:tblLook w:val="04A0" w:firstRow="1" w:lastRow="0" w:firstColumn="1" w:lastColumn="0" w:noHBand="0" w:noVBand="1"/>
      </w:tblPr>
      <w:tblGrid>
        <w:gridCol w:w="1260"/>
        <w:gridCol w:w="3260"/>
        <w:gridCol w:w="3119"/>
        <w:gridCol w:w="1979"/>
      </w:tblGrid>
      <w:tr w:rsidR="00911FBB" w14:paraId="4DBA7BA8" w14:textId="77777777" w:rsidTr="00911FBB">
        <w:tc>
          <w:tcPr>
            <w:tcW w:w="1260" w:type="dxa"/>
          </w:tcPr>
          <w:p w14:paraId="0DBF4ABF" w14:textId="276F9C1C" w:rsidR="00911FBB" w:rsidRDefault="00911FBB" w:rsidP="00911FBB">
            <w:pPr>
              <w:pStyle w:val="ListParagraph"/>
              <w:ind w:left="0"/>
              <w:rPr>
                <w:sz w:val="24"/>
                <w:szCs w:val="24"/>
              </w:rPr>
            </w:pPr>
            <w:r>
              <w:rPr>
                <w:sz w:val="24"/>
                <w:szCs w:val="24"/>
              </w:rPr>
              <w:t>TSM code</w:t>
            </w:r>
          </w:p>
        </w:tc>
        <w:tc>
          <w:tcPr>
            <w:tcW w:w="3260" w:type="dxa"/>
          </w:tcPr>
          <w:p w14:paraId="7EA34C76" w14:textId="26FA955F" w:rsidR="00911FBB" w:rsidRDefault="00911FBB" w:rsidP="00911FBB">
            <w:pPr>
              <w:pStyle w:val="ListParagraph"/>
              <w:ind w:left="0"/>
              <w:rPr>
                <w:sz w:val="24"/>
                <w:szCs w:val="24"/>
              </w:rPr>
            </w:pPr>
            <w:r>
              <w:rPr>
                <w:sz w:val="24"/>
                <w:szCs w:val="24"/>
              </w:rPr>
              <w:t>TSM question</w:t>
            </w:r>
          </w:p>
        </w:tc>
        <w:tc>
          <w:tcPr>
            <w:tcW w:w="3119" w:type="dxa"/>
          </w:tcPr>
          <w:p w14:paraId="59B94B38" w14:textId="62EBB4D6" w:rsidR="00911FBB" w:rsidRDefault="00911FBB" w:rsidP="00911FBB">
            <w:pPr>
              <w:pStyle w:val="ListParagraph"/>
              <w:ind w:left="0"/>
              <w:rPr>
                <w:sz w:val="24"/>
                <w:szCs w:val="24"/>
              </w:rPr>
            </w:pPr>
            <w:r>
              <w:rPr>
                <w:sz w:val="24"/>
                <w:szCs w:val="24"/>
              </w:rPr>
              <w:t xml:space="preserve">Pre-qualifying question </w:t>
            </w:r>
          </w:p>
        </w:tc>
        <w:tc>
          <w:tcPr>
            <w:tcW w:w="1979" w:type="dxa"/>
          </w:tcPr>
          <w:p w14:paraId="34878307" w14:textId="379C67A7" w:rsidR="00911FBB" w:rsidRDefault="00911FBB" w:rsidP="00911FBB">
            <w:pPr>
              <w:pStyle w:val="ListParagraph"/>
              <w:ind w:left="0"/>
              <w:rPr>
                <w:sz w:val="24"/>
                <w:szCs w:val="24"/>
              </w:rPr>
            </w:pPr>
            <w:r>
              <w:rPr>
                <w:sz w:val="24"/>
                <w:szCs w:val="24"/>
              </w:rPr>
              <w:t>Answered yes</w:t>
            </w:r>
          </w:p>
        </w:tc>
      </w:tr>
      <w:tr w:rsidR="00F872BA" w14:paraId="6081FDE2" w14:textId="77777777" w:rsidTr="00911FBB">
        <w:tc>
          <w:tcPr>
            <w:tcW w:w="1260" w:type="dxa"/>
          </w:tcPr>
          <w:p w14:paraId="0626CD40" w14:textId="441F9E6F" w:rsidR="00F872BA" w:rsidRPr="00F872BA" w:rsidRDefault="00F872BA" w:rsidP="00911FBB">
            <w:pPr>
              <w:pStyle w:val="ListParagraph"/>
              <w:ind w:left="0"/>
              <w:rPr>
                <w:rFonts w:ascii="Calibri Light" w:hAnsi="Calibri Light" w:cs="Calibri Light"/>
              </w:rPr>
            </w:pPr>
            <w:r w:rsidRPr="00F872BA">
              <w:rPr>
                <w:rFonts w:ascii="Calibri Light" w:hAnsi="Calibri Light" w:cs="Calibri Light"/>
              </w:rPr>
              <w:t>TP02</w:t>
            </w:r>
          </w:p>
        </w:tc>
        <w:tc>
          <w:tcPr>
            <w:tcW w:w="3260" w:type="dxa"/>
          </w:tcPr>
          <w:p w14:paraId="199CD556" w14:textId="585C6CD7" w:rsidR="00F872BA" w:rsidRPr="00F872BA" w:rsidRDefault="00F872BA" w:rsidP="00911FBB">
            <w:pPr>
              <w:pStyle w:val="ListParagraph"/>
              <w:ind w:left="0"/>
              <w:rPr>
                <w:rFonts w:ascii="Calibri Light" w:hAnsi="Calibri Light" w:cs="Calibri Light"/>
              </w:rPr>
            </w:pPr>
            <w:r w:rsidRPr="00F872BA">
              <w:rPr>
                <w:rFonts w:ascii="Calibri Light" w:hAnsi="Calibri Light" w:cs="Calibri Light"/>
              </w:rPr>
              <w:t>Satisfaction with repair</w:t>
            </w:r>
          </w:p>
        </w:tc>
        <w:tc>
          <w:tcPr>
            <w:tcW w:w="3119" w:type="dxa"/>
            <w:vMerge w:val="restart"/>
          </w:tcPr>
          <w:p w14:paraId="30B109DA" w14:textId="21EE602B" w:rsidR="00F872BA" w:rsidRPr="00F872BA" w:rsidRDefault="00F872BA" w:rsidP="00911FBB">
            <w:pPr>
              <w:pStyle w:val="ListParagraph"/>
              <w:ind w:left="0"/>
              <w:rPr>
                <w:rFonts w:ascii="Calibri Light" w:hAnsi="Calibri Light" w:cs="Calibri Light"/>
              </w:rPr>
            </w:pPr>
            <w:r w:rsidRPr="00F872BA">
              <w:rPr>
                <w:rFonts w:ascii="Calibri Light" w:eastAsia="Times New Roman" w:hAnsi="Calibri Light" w:cs="Calibri Light"/>
                <w:color w:val="000000"/>
                <w:lang w:eastAsia="en-GB"/>
              </w:rPr>
              <w:t>Has Cornwall Housing carried out a repair to your home in the last 12 months?</w:t>
            </w:r>
          </w:p>
        </w:tc>
        <w:tc>
          <w:tcPr>
            <w:tcW w:w="1979" w:type="dxa"/>
          </w:tcPr>
          <w:p w14:paraId="12D3C039" w14:textId="19136CA9" w:rsidR="00F872BA" w:rsidRPr="00713DD2" w:rsidRDefault="00F872BA" w:rsidP="00911FBB">
            <w:pPr>
              <w:pStyle w:val="ListParagraph"/>
              <w:ind w:left="0"/>
              <w:jc w:val="center"/>
              <w:rPr>
                <w:rFonts w:ascii="Calibri Light" w:hAnsi="Calibri Light" w:cs="Calibri Light"/>
              </w:rPr>
            </w:pPr>
            <w:r w:rsidRPr="00713DD2">
              <w:rPr>
                <w:rFonts w:ascii="Calibri Light" w:hAnsi="Calibri Light" w:cs="Calibri Light"/>
              </w:rPr>
              <w:t>66</w:t>
            </w:r>
            <w:r w:rsidR="00713DD2" w:rsidRPr="00713DD2">
              <w:rPr>
                <w:rFonts w:ascii="Calibri Light" w:hAnsi="Calibri Light" w:cs="Calibri Light"/>
              </w:rPr>
              <w:t>6</w:t>
            </w:r>
          </w:p>
        </w:tc>
      </w:tr>
      <w:tr w:rsidR="00F872BA" w14:paraId="2C0108BA" w14:textId="77777777" w:rsidTr="00911FBB">
        <w:tc>
          <w:tcPr>
            <w:tcW w:w="1260" w:type="dxa"/>
          </w:tcPr>
          <w:p w14:paraId="75F5A343" w14:textId="41B14D26" w:rsidR="00F872BA" w:rsidRPr="00F872BA" w:rsidRDefault="00F872BA" w:rsidP="00911FBB">
            <w:pPr>
              <w:pStyle w:val="ListParagraph"/>
              <w:ind w:left="0"/>
              <w:rPr>
                <w:rFonts w:ascii="Calibri Light" w:hAnsi="Calibri Light" w:cs="Calibri Light"/>
              </w:rPr>
            </w:pPr>
            <w:r w:rsidRPr="00F872BA">
              <w:rPr>
                <w:rFonts w:ascii="Calibri Light" w:hAnsi="Calibri Light" w:cs="Calibri Light"/>
              </w:rPr>
              <w:t>TP03</w:t>
            </w:r>
          </w:p>
        </w:tc>
        <w:tc>
          <w:tcPr>
            <w:tcW w:w="3260" w:type="dxa"/>
          </w:tcPr>
          <w:p w14:paraId="6B852B36" w14:textId="766C756E" w:rsidR="00F872BA" w:rsidRPr="00F872BA" w:rsidRDefault="00F872BA" w:rsidP="00911FBB">
            <w:pPr>
              <w:pStyle w:val="ListParagraph"/>
              <w:ind w:left="0"/>
              <w:rPr>
                <w:rFonts w:ascii="Calibri Light" w:hAnsi="Calibri Light" w:cs="Calibri Light"/>
              </w:rPr>
            </w:pPr>
            <w:r w:rsidRPr="00F872BA">
              <w:rPr>
                <w:rFonts w:ascii="Calibri Light" w:hAnsi="Calibri Light" w:cs="Calibri Light"/>
              </w:rPr>
              <w:t xml:space="preserve">Satisfaction with time taken to do the repair </w:t>
            </w:r>
          </w:p>
        </w:tc>
        <w:tc>
          <w:tcPr>
            <w:tcW w:w="3119" w:type="dxa"/>
            <w:vMerge/>
          </w:tcPr>
          <w:p w14:paraId="6ED7A9C8" w14:textId="77777777" w:rsidR="00F872BA" w:rsidRPr="00F872BA" w:rsidRDefault="00F872BA" w:rsidP="00911FBB">
            <w:pPr>
              <w:pStyle w:val="ListParagraph"/>
              <w:ind w:left="0"/>
              <w:rPr>
                <w:rFonts w:ascii="Calibri Light" w:hAnsi="Calibri Light" w:cs="Calibri Light"/>
              </w:rPr>
            </w:pPr>
          </w:p>
        </w:tc>
        <w:tc>
          <w:tcPr>
            <w:tcW w:w="1979" w:type="dxa"/>
          </w:tcPr>
          <w:p w14:paraId="62993E89" w14:textId="6E49B84B" w:rsidR="00F872BA" w:rsidRPr="00713DD2" w:rsidRDefault="00F872BA" w:rsidP="00911FBB">
            <w:pPr>
              <w:pStyle w:val="ListParagraph"/>
              <w:ind w:left="0"/>
              <w:jc w:val="center"/>
              <w:rPr>
                <w:rFonts w:ascii="Calibri Light" w:hAnsi="Calibri Light" w:cs="Calibri Light"/>
              </w:rPr>
            </w:pPr>
            <w:r w:rsidRPr="00713DD2">
              <w:rPr>
                <w:rFonts w:ascii="Calibri Light" w:hAnsi="Calibri Light" w:cs="Calibri Light"/>
              </w:rPr>
              <w:t>6</w:t>
            </w:r>
            <w:r w:rsidR="00713DD2" w:rsidRPr="00713DD2">
              <w:rPr>
                <w:rFonts w:ascii="Calibri Light" w:hAnsi="Calibri Light" w:cs="Calibri Light"/>
              </w:rPr>
              <w:t>66</w:t>
            </w:r>
          </w:p>
        </w:tc>
      </w:tr>
      <w:tr w:rsidR="00911FBB" w14:paraId="4CE07513" w14:textId="77777777" w:rsidTr="00911FBB">
        <w:tc>
          <w:tcPr>
            <w:tcW w:w="1260" w:type="dxa"/>
          </w:tcPr>
          <w:p w14:paraId="3EB8A42F" w14:textId="6F90B529" w:rsidR="00911FBB" w:rsidRPr="00F872BA" w:rsidRDefault="00911FBB" w:rsidP="00911FBB">
            <w:pPr>
              <w:pStyle w:val="ListParagraph"/>
              <w:ind w:left="0"/>
              <w:rPr>
                <w:rFonts w:ascii="Calibri Light" w:hAnsi="Calibri Light" w:cs="Calibri Light"/>
              </w:rPr>
            </w:pPr>
            <w:r w:rsidRPr="00F872BA">
              <w:rPr>
                <w:rFonts w:ascii="Calibri Light" w:hAnsi="Calibri Light" w:cs="Calibri Light"/>
              </w:rPr>
              <w:t>TP09</w:t>
            </w:r>
          </w:p>
        </w:tc>
        <w:tc>
          <w:tcPr>
            <w:tcW w:w="3260" w:type="dxa"/>
          </w:tcPr>
          <w:p w14:paraId="4C7F6608" w14:textId="18433129" w:rsidR="00911FBB" w:rsidRPr="00F872BA" w:rsidRDefault="00911FBB" w:rsidP="00911FBB">
            <w:pPr>
              <w:pStyle w:val="ListParagraph"/>
              <w:ind w:left="0"/>
              <w:rPr>
                <w:rFonts w:ascii="Calibri Light" w:hAnsi="Calibri Light" w:cs="Calibri Light"/>
              </w:rPr>
            </w:pPr>
            <w:r w:rsidRPr="00F872BA">
              <w:rPr>
                <w:rFonts w:ascii="Calibri Light" w:hAnsi="Calibri Light" w:cs="Calibri Light"/>
              </w:rPr>
              <w:t xml:space="preserve">Satisfaction with the approach to complaints handling </w:t>
            </w:r>
          </w:p>
        </w:tc>
        <w:tc>
          <w:tcPr>
            <w:tcW w:w="3119" w:type="dxa"/>
          </w:tcPr>
          <w:p w14:paraId="4E7A1B45" w14:textId="00A4980E" w:rsidR="00911FBB" w:rsidRPr="00F872BA" w:rsidRDefault="00F872BA" w:rsidP="00911FBB">
            <w:pPr>
              <w:pStyle w:val="ListParagraph"/>
              <w:ind w:left="0"/>
              <w:rPr>
                <w:rFonts w:ascii="Calibri Light" w:hAnsi="Calibri Light" w:cs="Calibri Light"/>
              </w:rPr>
            </w:pPr>
            <w:r w:rsidRPr="00F872BA">
              <w:rPr>
                <w:rFonts w:ascii="Calibri Light" w:eastAsia="Times New Roman" w:hAnsi="Calibri Light" w:cs="Calibri Light"/>
                <w:color w:val="000000"/>
                <w:lang w:eastAsia="en-GB"/>
              </w:rPr>
              <w:t>Have you made a complaint to Cornwall Housing in the last 12 months?</w:t>
            </w:r>
          </w:p>
        </w:tc>
        <w:tc>
          <w:tcPr>
            <w:tcW w:w="1979" w:type="dxa"/>
          </w:tcPr>
          <w:p w14:paraId="3D750227" w14:textId="58E1AC74" w:rsidR="00911FBB" w:rsidRPr="00713DD2" w:rsidRDefault="00911FBB" w:rsidP="00911FBB">
            <w:pPr>
              <w:pStyle w:val="ListParagraph"/>
              <w:ind w:left="0"/>
              <w:jc w:val="center"/>
              <w:rPr>
                <w:rFonts w:ascii="Calibri Light" w:hAnsi="Calibri Light" w:cs="Calibri Light"/>
              </w:rPr>
            </w:pPr>
            <w:r w:rsidRPr="00713DD2">
              <w:rPr>
                <w:rFonts w:ascii="Calibri Light" w:hAnsi="Calibri Light" w:cs="Calibri Light"/>
              </w:rPr>
              <w:t>29</w:t>
            </w:r>
            <w:r w:rsidR="00713DD2" w:rsidRPr="00713DD2">
              <w:rPr>
                <w:rFonts w:ascii="Calibri Light" w:hAnsi="Calibri Light" w:cs="Calibri Light"/>
              </w:rPr>
              <w:t>6</w:t>
            </w:r>
          </w:p>
        </w:tc>
      </w:tr>
      <w:tr w:rsidR="00911FBB" w14:paraId="7C230A88" w14:textId="77777777" w:rsidTr="00911FBB">
        <w:tc>
          <w:tcPr>
            <w:tcW w:w="1260" w:type="dxa"/>
          </w:tcPr>
          <w:p w14:paraId="59F82AC0" w14:textId="1F39271D" w:rsidR="00911FBB" w:rsidRPr="00F872BA" w:rsidRDefault="00911FBB" w:rsidP="00911FBB">
            <w:pPr>
              <w:pStyle w:val="ListParagraph"/>
              <w:ind w:left="0"/>
              <w:rPr>
                <w:rFonts w:ascii="Calibri Light" w:hAnsi="Calibri Light" w:cs="Calibri Light"/>
              </w:rPr>
            </w:pPr>
            <w:r w:rsidRPr="00F872BA">
              <w:rPr>
                <w:rFonts w:ascii="Calibri Light" w:hAnsi="Calibri Light" w:cs="Calibri Light"/>
              </w:rPr>
              <w:t>TP10</w:t>
            </w:r>
          </w:p>
        </w:tc>
        <w:tc>
          <w:tcPr>
            <w:tcW w:w="3260" w:type="dxa"/>
          </w:tcPr>
          <w:p w14:paraId="208CE137" w14:textId="5BBEDA43" w:rsidR="00911FBB" w:rsidRPr="00F872BA" w:rsidRDefault="00911FBB" w:rsidP="00911FBB">
            <w:pPr>
              <w:pStyle w:val="ListParagraph"/>
              <w:ind w:left="0"/>
              <w:rPr>
                <w:rFonts w:ascii="Calibri Light" w:hAnsi="Calibri Light" w:cs="Calibri Light"/>
              </w:rPr>
            </w:pPr>
            <w:r w:rsidRPr="00F872BA">
              <w:rPr>
                <w:rFonts w:ascii="Calibri Light" w:hAnsi="Calibri Light" w:cs="Calibri Light"/>
              </w:rPr>
              <w:t xml:space="preserve">Satisfaction that the communal area is clean and well maintained </w:t>
            </w:r>
          </w:p>
        </w:tc>
        <w:tc>
          <w:tcPr>
            <w:tcW w:w="3119" w:type="dxa"/>
          </w:tcPr>
          <w:p w14:paraId="57A8D02C" w14:textId="25A77E37" w:rsidR="00911FBB" w:rsidRPr="00F872BA" w:rsidRDefault="00F872BA" w:rsidP="00911FBB">
            <w:pPr>
              <w:pStyle w:val="ListParagraph"/>
              <w:ind w:left="0"/>
              <w:rPr>
                <w:rFonts w:ascii="Calibri Light" w:hAnsi="Calibri Light" w:cs="Calibri Light"/>
              </w:rPr>
            </w:pPr>
            <w:r w:rsidRPr="00F872BA">
              <w:rPr>
                <w:rFonts w:ascii="Calibri Light" w:eastAsia="Times New Roman" w:hAnsi="Calibri Light" w:cs="Calibri Light"/>
                <w:color w:val="000000"/>
                <w:lang w:eastAsia="en-GB"/>
              </w:rPr>
              <w:t>Do you live in a building with communal areas, either inside or outside, that Cornwall Housing is responsible for maintaining?</w:t>
            </w:r>
          </w:p>
        </w:tc>
        <w:tc>
          <w:tcPr>
            <w:tcW w:w="1979" w:type="dxa"/>
          </w:tcPr>
          <w:p w14:paraId="024715FC" w14:textId="06CF4A58" w:rsidR="00911FBB" w:rsidRPr="00713DD2" w:rsidRDefault="00911FBB" w:rsidP="00911FBB">
            <w:pPr>
              <w:pStyle w:val="ListParagraph"/>
              <w:ind w:left="0"/>
              <w:jc w:val="center"/>
              <w:rPr>
                <w:rFonts w:ascii="Calibri Light" w:hAnsi="Calibri Light" w:cs="Calibri Light"/>
              </w:rPr>
            </w:pPr>
            <w:r w:rsidRPr="00713DD2">
              <w:rPr>
                <w:rFonts w:ascii="Calibri Light" w:hAnsi="Calibri Light" w:cs="Calibri Light"/>
              </w:rPr>
              <w:t>3</w:t>
            </w:r>
            <w:r w:rsidR="00713DD2" w:rsidRPr="00713DD2">
              <w:rPr>
                <w:rFonts w:ascii="Calibri Light" w:hAnsi="Calibri Light" w:cs="Calibri Light"/>
              </w:rPr>
              <w:t>10</w:t>
            </w:r>
          </w:p>
        </w:tc>
      </w:tr>
    </w:tbl>
    <w:p w14:paraId="35158AD6" w14:textId="77777777" w:rsidR="00911FBB" w:rsidRPr="00911FBB" w:rsidRDefault="00911FBB" w:rsidP="00911FBB">
      <w:pPr>
        <w:pStyle w:val="ListParagraph"/>
        <w:ind w:left="1440"/>
        <w:rPr>
          <w:sz w:val="24"/>
          <w:szCs w:val="24"/>
        </w:rPr>
      </w:pPr>
    </w:p>
    <w:p w14:paraId="39251187" w14:textId="59C0463F" w:rsidR="004C6EDE" w:rsidRPr="0041618F" w:rsidRDefault="003934EF" w:rsidP="00C00CCB">
      <w:pPr>
        <w:pStyle w:val="ListParagraph"/>
        <w:numPr>
          <w:ilvl w:val="0"/>
          <w:numId w:val="2"/>
        </w:numPr>
        <w:rPr>
          <w:sz w:val="24"/>
          <w:szCs w:val="24"/>
        </w:rPr>
      </w:pPr>
      <w:r w:rsidRPr="00C00CCB">
        <w:rPr>
          <w:b/>
          <w:bCs/>
          <w:sz w:val="24"/>
          <w:szCs w:val="24"/>
        </w:rPr>
        <w:t>Summary of the assessment of representativeness of the sample against the tenant population</w:t>
      </w:r>
    </w:p>
    <w:p w14:paraId="4053B415" w14:textId="5757BD25" w:rsidR="0041618F" w:rsidRPr="0041618F" w:rsidRDefault="0041618F" w:rsidP="0041618F">
      <w:pPr>
        <w:pStyle w:val="ListParagraph"/>
        <w:rPr>
          <w:sz w:val="24"/>
          <w:szCs w:val="24"/>
        </w:rPr>
      </w:pPr>
      <w:r>
        <w:rPr>
          <w:sz w:val="24"/>
          <w:szCs w:val="24"/>
        </w:rPr>
        <w:t xml:space="preserve">The regulator requires all social landlords to try and achieve a response that is representative of their tenant population. After considering the guidance, we chose to ask Acuity to ensure that the </w:t>
      </w:r>
      <w:r>
        <w:rPr>
          <w:sz w:val="24"/>
          <w:szCs w:val="24"/>
        </w:rPr>
        <w:lastRenderedPageBreak/>
        <w:t xml:space="preserve">total responses were representative in relation to the age, tenure and area of the tenant population. Below is the detail of the </w:t>
      </w:r>
      <w:r w:rsidR="001C0909">
        <w:rPr>
          <w:sz w:val="24"/>
          <w:szCs w:val="24"/>
        </w:rPr>
        <w:t>percentage</w:t>
      </w:r>
      <w:r>
        <w:rPr>
          <w:sz w:val="24"/>
          <w:szCs w:val="24"/>
        </w:rPr>
        <w:t xml:space="preserve"> of responses in relation to those categories. </w:t>
      </w:r>
    </w:p>
    <w:p w14:paraId="153CD69C" w14:textId="191976B6" w:rsidR="003934EF" w:rsidRPr="001C0909" w:rsidRDefault="003934EF" w:rsidP="0041618F">
      <w:pPr>
        <w:ind w:left="851"/>
        <w:rPr>
          <w:b/>
          <w:bCs/>
          <w:color w:val="FF0000"/>
          <w:sz w:val="24"/>
          <w:szCs w:val="24"/>
          <w:u w:val="single"/>
        </w:rPr>
      </w:pPr>
      <w:r w:rsidRPr="001C0909">
        <w:rPr>
          <w:b/>
          <w:bCs/>
          <w:sz w:val="24"/>
          <w:szCs w:val="24"/>
          <w:u w:val="single"/>
        </w:rPr>
        <w:t>Tenure</w:t>
      </w:r>
      <w:r w:rsidR="00003F6E" w:rsidRPr="001C0909">
        <w:rPr>
          <w:b/>
          <w:bCs/>
          <w:sz w:val="24"/>
          <w:szCs w:val="24"/>
          <w:u w:val="single"/>
        </w:rPr>
        <w:t xml:space="preserve"> </w:t>
      </w:r>
    </w:p>
    <w:p w14:paraId="602013BC" w14:textId="34066357" w:rsidR="003934EF" w:rsidRDefault="001C0909" w:rsidP="0041618F">
      <w:pPr>
        <w:ind w:left="851"/>
        <w:rPr>
          <w:sz w:val="24"/>
          <w:szCs w:val="24"/>
        </w:rPr>
      </w:pPr>
      <w:r w:rsidRPr="001C0909">
        <w:rPr>
          <w:noProof/>
          <w:sz w:val="24"/>
          <w:szCs w:val="24"/>
        </w:rPr>
        <w:drawing>
          <wp:inline distT="0" distB="0" distL="0" distR="0" wp14:anchorId="741DE036" wp14:editId="6BC71409">
            <wp:extent cx="4153113" cy="806491"/>
            <wp:effectExtent l="0" t="0" r="0" b="0"/>
            <wp:docPr id="411807436"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07436" name="Picture 1" descr="A table with numbers and text&#10;&#10;AI-generated content may be incorrect."/>
                    <pic:cNvPicPr/>
                  </pic:nvPicPr>
                  <pic:blipFill>
                    <a:blip r:embed="rId8"/>
                    <a:stretch>
                      <a:fillRect/>
                    </a:stretch>
                  </pic:blipFill>
                  <pic:spPr>
                    <a:xfrm>
                      <a:off x="0" y="0"/>
                      <a:ext cx="4153113" cy="806491"/>
                    </a:xfrm>
                    <a:prstGeom prst="rect">
                      <a:avLst/>
                    </a:prstGeom>
                  </pic:spPr>
                </pic:pic>
              </a:graphicData>
            </a:graphic>
          </wp:inline>
        </w:drawing>
      </w:r>
    </w:p>
    <w:p w14:paraId="477E0415" w14:textId="77777777" w:rsidR="001C0909" w:rsidRDefault="001C0909" w:rsidP="0041618F">
      <w:pPr>
        <w:ind w:left="851"/>
        <w:rPr>
          <w:sz w:val="24"/>
          <w:szCs w:val="24"/>
        </w:rPr>
      </w:pPr>
    </w:p>
    <w:p w14:paraId="492050D1" w14:textId="59DE7D69" w:rsidR="003934EF" w:rsidRPr="001C0909" w:rsidRDefault="003934EF" w:rsidP="0041618F">
      <w:pPr>
        <w:ind w:left="851"/>
        <w:rPr>
          <w:b/>
          <w:bCs/>
          <w:sz w:val="24"/>
          <w:szCs w:val="24"/>
          <w:u w:val="single"/>
        </w:rPr>
      </w:pPr>
      <w:r w:rsidRPr="001C0909">
        <w:rPr>
          <w:b/>
          <w:bCs/>
          <w:sz w:val="24"/>
          <w:szCs w:val="24"/>
          <w:u w:val="single"/>
        </w:rPr>
        <w:t>Area</w:t>
      </w:r>
      <w:r w:rsidR="00CF2406" w:rsidRPr="001C0909">
        <w:rPr>
          <w:b/>
          <w:bCs/>
          <w:sz w:val="24"/>
          <w:szCs w:val="24"/>
          <w:u w:val="single"/>
        </w:rPr>
        <w:t xml:space="preserve"> (see over)</w:t>
      </w:r>
    </w:p>
    <w:p w14:paraId="0A40CC84" w14:textId="64A5ED8B" w:rsidR="003934EF" w:rsidRDefault="001C0909" w:rsidP="0041618F">
      <w:pPr>
        <w:ind w:left="851"/>
        <w:rPr>
          <w:sz w:val="24"/>
          <w:szCs w:val="24"/>
        </w:rPr>
      </w:pPr>
      <w:r w:rsidRPr="001C0909">
        <w:rPr>
          <w:noProof/>
          <w:sz w:val="24"/>
          <w:szCs w:val="24"/>
        </w:rPr>
        <w:drawing>
          <wp:inline distT="0" distB="0" distL="0" distR="0" wp14:anchorId="4C96D545" wp14:editId="4FB47D0F">
            <wp:extent cx="4159464" cy="1187511"/>
            <wp:effectExtent l="0" t="0" r="0" b="0"/>
            <wp:docPr id="37383182"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3182" name="Picture 1" descr="A table with numbers and text&#10;&#10;AI-generated content may be incorrect."/>
                    <pic:cNvPicPr/>
                  </pic:nvPicPr>
                  <pic:blipFill>
                    <a:blip r:embed="rId9"/>
                    <a:stretch>
                      <a:fillRect/>
                    </a:stretch>
                  </pic:blipFill>
                  <pic:spPr>
                    <a:xfrm>
                      <a:off x="0" y="0"/>
                      <a:ext cx="4159464" cy="1187511"/>
                    </a:xfrm>
                    <a:prstGeom prst="rect">
                      <a:avLst/>
                    </a:prstGeom>
                  </pic:spPr>
                </pic:pic>
              </a:graphicData>
            </a:graphic>
          </wp:inline>
        </w:drawing>
      </w:r>
    </w:p>
    <w:p w14:paraId="00CD99F4" w14:textId="77777777" w:rsidR="0041618F" w:rsidRDefault="0041618F" w:rsidP="0041618F">
      <w:pPr>
        <w:ind w:left="851"/>
        <w:rPr>
          <w:sz w:val="24"/>
          <w:szCs w:val="24"/>
        </w:rPr>
      </w:pPr>
    </w:p>
    <w:p w14:paraId="30B8130A" w14:textId="6EFCAD5B" w:rsidR="003934EF" w:rsidRPr="001C0909" w:rsidRDefault="003934EF" w:rsidP="0041618F">
      <w:pPr>
        <w:ind w:left="851"/>
        <w:rPr>
          <w:b/>
          <w:bCs/>
          <w:sz w:val="24"/>
          <w:szCs w:val="24"/>
          <w:u w:val="single"/>
        </w:rPr>
      </w:pPr>
      <w:r w:rsidRPr="001C0909">
        <w:rPr>
          <w:b/>
          <w:bCs/>
          <w:sz w:val="24"/>
          <w:szCs w:val="24"/>
          <w:u w:val="single"/>
        </w:rPr>
        <w:t>Age</w:t>
      </w:r>
      <w:r w:rsidR="0041618F" w:rsidRPr="001C0909">
        <w:rPr>
          <w:b/>
          <w:bCs/>
          <w:sz w:val="24"/>
          <w:szCs w:val="24"/>
          <w:u w:val="single"/>
        </w:rPr>
        <w:t xml:space="preserve"> </w:t>
      </w:r>
    </w:p>
    <w:p w14:paraId="798582D4" w14:textId="395CAA75" w:rsidR="003934EF" w:rsidRDefault="001C0909" w:rsidP="0041618F">
      <w:pPr>
        <w:ind w:left="851"/>
        <w:rPr>
          <w:sz w:val="24"/>
          <w:szCs w:val="24"/>
        </w:rPr>
      </w:pPr>
      <w:r w:rsidRPr="001C0909">
        <w:rPr>
          <w:noProof/>
          <w:sz w:val="24"/>
          <w:szCs w:val="24"/>
        </w:rPr>
        <w:drawing>
          <wp:inline distT="0" distB="0" distL="0" distR="0" wp14:anchorId="3304112A" wp14:editId="022829F6">
            <wp:extent cx="4153113" cy="1892397"/>
            <wp:effectExtent l="0" t="0" r="0" b="0"/>
            <wp:docPr id="902748041"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48041" name="Picture 1" descr="A table with numbers and text&#10;&#10;AI-generated content may be incorrect."/>
                    <pic:cNvPicPr/>
                  </pic:nvPicPr>
                  <pic:blipFill>
                    <a:blip r:embed="rId10"/>
                    <a:stretch>
                      <a:fillRect/>
                    </a:stretch>
                  </pic:blipFill>
                  <pic:spPr>
                    <a:xfrm>
                      <a:off x="0" y="0"/>
                      <a:ext cx="4153113" cy="1892397"/>
                    </a:xfrm>
                    <a:prstGeom prst="rect">
                      <a:avLst/>
                    </a:prstGeom>
                  </pic:spPr>
                </pic:pic>
              </a:graphicData>
            </a:graphic>
          </wp:inline>
        </w:drawing>
      </w:r>
    </w:p>
    <w:p w14:paraId="7C8B8C52" w14:textId="77777777" w:rsidR="00223A0D" w:rsidRDefault="00223A0D" w:rsidP="00023824">
      <w:pPr>
        <w:ind w:firstLine="360"/>
        <w:rPr>
          <w:b/>
          <w:bCs/>
          <w:sz w:val="28"/>
          <w:szCs w:val="28"/>
        </w:rPr>
      </w:pPr>
      <w:bookmarkStart w:id="0" w:name="_Hlk170285536"/>
    </w:p>
    <w:p w14:paraId="790B48AC" w14:textId="77777777" w:rsidR="00223A0D" w:rsidRDefault="00223A0D" w:rsidP="00023824">
      <w:pPr>
        <w:ind w:firstLine="360"/>
        <w:rPr>
          <w:b/>
          <w:bCs/>
          <w:sz w:val="28"/>
          <w:szCs w:val="28"/>
        </w:rPr>
      </w:pPr>
    </w:p>
    <w:p w14:paraId="4D34E3D3" w14:textId="77777777" w:rsidR="00223A0D" w:rsidRDefault="00223A0D" w:rsidP="00023824">
      <w:pPr>
        <w:ind w:firstLine="360"/>
        <w:rPr>
          <w:b/>
          <w:bCs/>
          <w:sz w:val="28"/>
          <w:szCs w:val="28"/>
        </w:rPr>
      </w:pPr>
    </w:p>
    <w:p w14:paraId="19433CD2" w14:textId="77777777" w:rsidR="00223A0D" w:rsidRDefault="00223A0D" w:rsidP="00023824">
      <w:pPr>
        <w:ind w:firstLine="360"/>
        <w:rPr>
          <w:b/>
          <w:bCs/>
          <w:sz w:val="28"/>
          <w:szCs w:val="28"/>
        </w:rPr>
      </w:pPr>
    </w:p>
    <w:p w14:paraId="48F8317C" w14:textId="77777777" w:rsidR="00223A0D" w:rsidRDefault="00223A0D" w:rsidP="00023824">
      <w:pPr>
        <w:ind w:firstLine="360"/>
        <w:rPr>
          <w:b/>
          <w:bCs/>
          <w:sz w:val="28"/>
          <w:szCs w:val="28"/>
        </w:rPr>
      </w:pPr>
    </w:p>
    <w:p w14:paraId="613F2093" w14:textId="77777777" w:rsidR="00C67671" w:rsidRDefault="00C67671" w:rsidP="00023824">
      <w:pPr>
        <w:ind w:firstLine="360"/>
        <w:rPr>
          <w:b/>
          <w:bCs/>
          <w:sz w:val="28"/>
          <w:szCs w:val="28"/>
        </w:rPr>
      </w:pPr>
    </w:p>
    <w:p w14:paraId="7D9F3EEC" w14:textId="77777777" w:rsidR="00C67671" w:rsidRDefault="00C67671" w:rsidP="00023824">
      <w:pPr>
        <w:ind w:firstLine="360"/>
        <w:rPr>
          <w:b/>
          <w:bCs/>
          <w:sz w:val="28"/>
          <w:szCs w:val="28"/>
        </w:rPr>
      </w:pPr>
    </w:p>
    <w:bookmarkEnd w:id="0"/>
    <w:p w14:paraId="5B270329" w14:textId="77777777" w:rsidR="00C67671" w:rsidRDefault="00C67671" w:rsidP="00112B7D">
      <w:pPr>
        <w:ind w:firstLine="360"/>
        <w:rPr>
          <w:b/>
          <w:bCs/>
          <w:sz w:val="28"/>
          <w:szCs w:val="28"/>
        </w:rPr>
      </w:pPr>
    </w:p>
    <w:p w14:paraId="77804338" w14:textId="1623169B" w:rsidR="00232AE1" w:rsidRPr="004D0C38" w:rsidRDefault="004D0C38" w:rsidP="00112B7D">
      <w:pPr>
        <w:ind w:firstLine="360"/>
        <w:rPr>
          <w:b/>
          <w:bCs/>
          <w:sz w:val="28"/>
          <w:szCs w:val="28"/>
        </w:rPr>
      </w:pPr>
      <w:r w:rsidRPr="004D0C38">
        <w:rPr>
          <w:b/>
          <w:bCs/>
          <w:sz w:val="28"/>
          <w:szCs w:val="28"/>
        </w:rPr>
        <w:t>The f</w:t>
      </w:r>
      <w:r w:rsidR="00232AE1" w:rsidRPr="004D0C38">
        <w:rPr>
          <w:b/>
          <w:bCs/>
          <w:sz w:val="28"/>
          <w:szCs w:val="28"/>
        </w:rPr>
        <w:t xml:space="preserve">inal results </w:t>
      </w:r>
      <w:r w:rsidR="001241B1">
        <w:rPr>
          <w:b/>
          <w:bCs/>
          <w:sz w:val="28"/>
          <w:szCs w:val="28"/>
        </w:rPr>
        <w:t>for 202</w:t>
      </w:r>
      <w:r w:rsidR="001A476C">
        <w:rPr>
          <w:b/>
          <w:bCs/>
          <w:sz w:val="28"/>
          <w:szCs w:val="28"/>
        </w:rPr>
        <w:t>4/25</w:t>
      </w:r>
    </w:p>
    <w:p w14:paraId="7CCA7872" w14:textId="0BAE17F0" w:rsidR="00E77D24" w:rsidRPr="00232AE1" w:rsidRDefault="00232AE1" w:rsidP="00232AE1">
      <w:pPr>
        <w:pStyle w:val="ListParagraph"/>
        <w:numPr>
          <w:ilvl w:val="0"/>
          <w:numId w:val="2"/>
        </w:numPr>
        <w:rPr>
          <w:b/>
          <w:bCs/>
        </w:rPr>
      </w:pPr>
      <w:r w:rsidRPr="00232AE1">
        <w:rPr>
          <w:b/>
          <w:bCs/>
        </w:rPr>
        <w:t xml:space="preserve">Published </w:t>
      </w:r>
      <w:r w:rsidR="00E77D24" w:rsidRPr="00232AE1">
        <w:rPr>
          <w:b/>
          <w:bCs/>
        </w:rPr>
        <w:t xml:space="preserve">Results </w:t>
      </w:r>
    </w:p>
    <w:p w14:paraId="1A4FAF1A" w14:textId="58E831F5" w:rsidR="00E77D24" w:rsidRDefault="00E77D24" w:rsidP="00E77D24">
      <w:pPr>
        <w:pStyle w:val="ListParagraph"/>
      </w:pPr>
    </w:p>
    <w:p w14:paraId="5ED15899" w14:textId="76BCEDA0" w:rsidR="00E77D24" w:rsidRDefault="00E77D24" w:rsidP="00232AE1">
      <w:pPr>
        <w:pStyle w:val="ListParagraph"/>
        <w:numPr>
          <w:ilvl w:val="1"/>
          <w:numId w:val="2"/>
        </w:numPr>
      </w:pPr>
      <w:r>
        <w:t xml:space="preserve">Results were calculated to one decimal place in line with regulatory guidance. Our published results are taken from those calculated from our supplied figures by the regulator’s NROSH system. </w:t>
      </w:r>
    </w:p>
    <w:p w14:paraId="48F4F9B4" w14:textId="791C3B7D" w:rsidR="001241B1" w:rsidRDefault="001241B1" w:rsidP="001241B1">
      <w:pPr>
        <w:pStyle w:val="ListParagraph"/>
      </w:pPr>
    </w:p>
    <w:p w14:paraId="57CC503A" w14:textId="57DB1390" w:rsidR="00023824" w:rsidRDefault="001241B1" w:rsidP="00263F63">
      <w:pPr>
        <w:pStyle w:val="ListParagraph"/>
      </w:pPr>
      <w:r>
        <w:t xml:space="preserve">For the final published results, please see </w:t>
      </w:r>
      <w:r w:rsidR="00263F63">
        <w:t>below:</w:t>
      </w:r>
    </w:p>
    <w:p w14:paraId="1AF10EB5" w14:textId="77777777" w:rsidR="00023824" w:rsidRDefault="00023824" w:rsidP="001241B1">
      <w:pPr>
        <w:pStyle w:val="ListParagraph"/>
      </w:pPr>
    </w:p>
    <w:p w14:paraId="6D476633" w14:textId="699DFF43" w:rsidR="00023824" w:rsidRPr="00795DB8" w:rsidRDefault="00232AE1" w:rsidP="001A476C">
      <w:pPr>
        <w:pStyle w:val="ListParagraph"/>
        <w:numPr>
          <w:ilvl w:val="1"/>
          <w:numId w:val="2"/>
        </w:numPr>
        <w:rPr>
          <w:b/>
          <w:bCs/>
        </w:rPr>
      </w:pPr>
      <w:r w:rsidRPr="00795DB8">
        <w:rPr>
          <w:b/>
          <w:bCs/>
        </w:rPr>
        <w:t xml:space="preserve">Tenant satisfaction survey </w:t>
      </w:r>
    </w:p>
    <w:tbl>
      <w:tblPr>
        <w:tblpPr w:leftFromText="180" w:rightFromText="180" w:vertAnchor="page" w:horzAnchor="margin" w:tblpXSpec="center" w:tblpY="4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F75A65" w:rsidRPr="002A0AE6" w14:paraId="09626019" w14:textId="77777777" w:rsidTr="00C67671">
        <w:tc>
          <w:tcPr>
            <w:tcW w:w="7513" w:type="dxa"/>
            <w:tcBorders>
              <w:bottom w:val="single" w:sz="4" w:space="0" w:color="auto"/>
            </w:tcBorders>
            <w:shd w:val="clear" w:color="auto" w:fill="D9D9D9"/>
          </w:tcPr>
          <w:p w14:paraId="32A8A89F" w14:textId="77777777" w:rsidR="00F75A65" w:rsidRPr="002A0AE6" w:rsidRDefault="00F75A65" w:rsidP="00C67671">
            <w:pPr>
              <w:spacing w:after="0" w:line="240" w:lineRule="auto"/>
              <w:rPr>
                <w:rFonts w:ascii="Calibri" w:eastAsia="Times New Roman" w:hAnsi="Calibri" w:cs="Calibri"/>
                <w:b/>
                <w:bCs/>
                <w:lang w:eastAsia="en-GB"/>
              </w:rPr>
            </w:pPr>
            <w:r w:rsidRPr="002A0AE6">
              <w:rPr>
                <w:rFonts w:ascii="Calibri" w:eastAsia="Times New Roman" w:hAnsi="Calibri" w:cs="Calibri"/>
                <w:b/>
                <w:bCs/>
                <w:lang w:eastAsia="en-GB"/>
              </w:rPr>
              <w:t>Measure</w:t>
            </w:r>
          </w:p>
        </w:tc>
        <w:tc>
          <w:tcPr>
            <w:tcW w:w="1559" w:type="dxa"/>
            <w:tcBorders>
              <w:bottom w:val="single" w:sz="4" w:space="0" w:color="auto"/>
            </w:tcBorders>
            <w:shd w:val="clear" w:color="auto" w:fill="D9D9D9"/>
          </w:tcPr>
          <w:p w14:paraId="0B59A6D8" w14:textId="77777777" w:rsidR="00F75A65" w:rsidRPr="002A0AE6" w:rsidRDefault="00F75A65" w:rsidP="00C67671">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2024/25 r</w:t>
            </w:r>
            <w:r w:rsidRPr="002A0AE6">
              <w:rPr>
                <w:rFonts w:ascii="Calibri" w:eastAsia="Times New Roman" w:hAnsi="Calibri" w:cs="Calibri"/>
                <w:b/>
                <w:bCs/>
                <w:lang w:eastAsia="en-GB"/>
              </w:rPr>
              <w:t>esult</w:t>
            </w:r>
          </w:p>
        </w:tc>
      </w:tr>
      <w:tr w:rsidR="00F75A65" w:rsidRPr="002A0AE6" w14:paraId="531CCBBB" w14:textId="77777777" w:rsidTr="00C67671">
        <w:tc>
          <w:tcPr>
            <w:tcW w:w="7513" w:type="dxa"/>
            <w:tcBorders>
              <w:bottom w:val="single" w:sz="4" w:space="0" w:color="auto"/>
            </w:tcBorders>
            <w:shd w:val="clear" w:color="auto" w:fill="auto"/>
          </w:tcPr>
          <w:p w14:paraId="1E0D5854"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 xml:space="preserve">TP01: Overall satisfaction </w:t>
            </w:r>
          </w:p>
        </w:tc>
        <w:tc>
          <w:tcPr>
            <w:tcW w:w="1559" w:type="dxa"/>
            <w:tcBorders>
              <w:bottom w:val="single" w:sz="4" w:space="0" w:color="auto"/>
            </w:tcBorders>
            <w:shd w:val="clear" w:color="auto" w:fill="auto"/>
            <w:vAlign w:val="center"/>
          </w:tcPr>
          <w:p w14:paraId="01025FAB"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69</w:t>
            </w:r>
            <w:r>
              <w:rPr>
                <w:rFonts w:ascii="Calibri" w:hAnsi="Calibri" w:cs="Calibri"/>
                <w:color w:val="000000"/>
              </w:rPr>
              <w:t>%</w:t>
            </w:r>
          </w:p>
        </w:tc>
      </w:tr>
      <w:tr w:rsidR="00F75A65" w:rsidRPr="002A0AE6" w14:paraId="2CFE5367" w14:textId="77777777" w:rsidTr="00C67671">
        <w:tc>
          <w:tcPr>
            <w:tcW w:w="7513" w:type="dxa"/>
            <w:shd w:val="clear" w:color="auto" w:fill="auto"/>
          </w:tcPr>
          <w:p w14:paraId="12C0B003"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 xml:space="preserve">TP02: Satisfaction with repairs </w:t>
            </w:r>
          </w:p>
        </w:tc>
        <w:tc>
          <w:tcPr>
            <w:tcW w:w="1559" w:type="dxa"/>
            <w:shd w:val="clear" w:color="auto" w:fill="auto"/>
            <w:vAlign w:val="center"/>
          </w:tcPr>
          <w:p w14:paraId="052D1153"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70</w:t>
            </w:r>
            <w:r>
              <w:rPr>
                <w:rFonts w:ascii="Calibri" w:hAnsi="Calibri" w:cs="Calibri"/>
                <w:color w:val="000000"/>
              </w:rPr>
              <w:t>%</w:t>
            </w:r>
          </w:p>
        </w:tc>
      </w:tr>
      <w:tr w:rsidR="00F75A65" w:rsidRPr="002A0AE6" w14:paraId="60DD2E3F" w14:textId="77777777" w:rsidTr="00C67671">
        <w:tc>
          <w:tcPr>
            <w:tcW w:w="7513" w:type="dxa"/>
            <w:shd w:val="clear" w:color="auto" w:fill="auto"/>
          </w:tcPr>
          <w:p w14:paraId="33D25D60"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TP03: Satisfaction with time taken to complete most recent repair</w:t>
            </w:r>
          </w:p>
        </w:tc>
        <w:tc>
          <w:tcPr>
            <w:tcW w:w="1559" w:type="dxa"/>
            <w:shd w:val="clear" w:color="auto" w:fill="auto"/>
            <w:vAlign w:val="center"/>
          </w:tcPr>
          <w:p w14:paraId="2855063E"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69</w:t>
            </w:r>
            <w:r>
              <w:rPr>
                <w:rFonts w:ascii="Calibri" w:hAnsi="Calibri" w:cs="Calibri"/>
                <w:color w:val="000000"/>
              </w:rPr>
              <w:t>%</w:t>
            </w:r>
          </w:p>
        </w:tc>
      </w:tr>
      <w:tr w:rsidR="00F75A65" w:rsidRPr="002A0AE6" w14:paraId="2BD07DAF" w14:textId="77777777" w:rsidTr="00C67671">
        <w:tc>
          <w:tcPr>
            <w:tcW w:w="7513" w:type="dxa"/>
            <w:tcBorders>
              <w:bottom w:val="single" w:sz="4" w:space="0" w:color="auto"/>
            </w:tcBorders>
            <w:shd w:val="clear" w:color="auto" w:fill="auto"/>
          </w:tcPr>
          <w:p w14:paraId="204409CB"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 xml:space="preserve">TP04: Satisfaction that home is well maintained </w:t>
            </w:r>
          </w:p>
        </w:tc>
        <w:tc>
          <w:tcPr>
            <w:tcW w:w="1559" w:type="dxa"/>
            <w:tcBorders>
              <w:bottom w:val="single" w:sz="4" w:space="0" w:color="auto"/>
            </w:tcBorders>
            <w:shd w:val="clear" w:color="auto" w:fill="auto"/>
            <w:vAlign w:val="center"/>
          </w:tcPr>
          <w:p w14:paraId="6D388197"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66</w:t>
            </w:r>
            <w:r>
              <w:rPr>
                <w:rFonts w:ascii="Calibri" w:hAnsi="Calibri" w:cs="Calibri"/>
                <w:color w:val="000000"/>
              </w:rPr>
              <w:t>%</w:t>
            </w:r>
          </w:p>
        </w:tc>
      </w:tr>
      <w:tr w:rsidR="00F75A65" w:rsidRPr="002A0AE6" w14:paraId="7A27ACCF" w14:textId="77777777" w:rsidTr="00C67671">
        <w:tc>
          <w:tcPr>
            <w:tcW w:w="7513" w:type="dxa"/>
            <w:tcBorders>
              <w:bottom w:val="single" w:sz="4" w:space="0" w:color="auto"/>
            </w:tcBorders>
            <w:shd w:val="clear" w:color="auto" w:fill="auto"/>
          </w:tcPr>
          <w:p w14:paraId="787277EA"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 xml:space="preserve">TP05: Satisfaction that the home is safe </w:t>
            </w:r>
          </w:p>
        </w:tc>
        <w:tc>
          <w:tcPr>
            <w:tcW w:w="1559" w:type="dxa"/>
            <w:tcBorders>
              <w:bottom w:val="single" w:sz="4" w:space="0" w:color="auto"/>
            </w:tcBorders>
            <w:shd w:val="clear" w:color="auto" w:fill="auto"/>
            <w:vAlign w:val="center"/>
          </w:tcPr>
          <w:p w14:paraId="5A6F47F0"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74</w:t>
            </w:r>
            <w:r>
              <w:rPr>
                <w:rFonts w:ascii="Calibri" w:hAnsi="Calibri" w:cs="Calibri"/>
                <w:color w:val="000000"/>
              </w:rPr>
              <w:t>%</w:t>
            </w:r>
          </w:p>
        </w:tc>
      </w:tr>
      <w:tr w:rsidR="00F75A65" w:rsidRPr="002A0AE6" w14:paraId="7B69ACE5" w14:textId="77777777" w:rsidTr="00C67671">
        <w:tc>
          <w:tcPr>
            <w:tcW w:w="7513" w:type="dxa"/>
            <w:shd w:val="clear" w:color="auto" w:fill="auto"/>
          </w:tcPr>
          <w:p w14:paraId="5F1D6D3F"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TP06: Satisfaction that the landlord listens to views and acts upon them</w:t>
            </w:r>
          </w:p>
        </w:tc>
        <w:tc>
          <w:tcPr>
            <w:tcW w:w="1559" w:type="dxa"/>
            <w:shd w:val="clear" w:color="auto" w:fill="auto"/>
            <w:vAlign w:val="center"/>
          </w:tcPr>
          <w:p w14:paraId="06F4E108"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56</w:t>
            </w:r>
            <w:r>
              <w:rPr>
                <w:rFonts w:ascii="Calibri" w:hAnsi="Calibri" w:cs="Calibri"/>
                <w:color w:val="000000"/>
              </w:rPr>
              <w:t>%</w:t>
            </w:r>
          </w:p>
        </w:tc>
      </w:tr>
      <w:tr w:rsidR="00F75A65" w:rsidRPr="002A0AE6" w14:paraId="2B86A623" w14:textId="77777777" w:rsidTr="00C67671">
        <w:tc>
          <w:tcPr>
            <w:tcW w:w="7513" w:type="dxa"/>
            <w:shd w:val="clear" w:color="auto" w:fill="auto"/>
          </w:tcPr>
          <w:p w14:paraId="201AC7DA"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 xml:space="preserve">TP07: Satisfaction that the landlord keeps tenant informed about things that matter to them </w:t>
            </w:r>
          </w:p>
        </w:tc>
        <w:tc>
          <w:tcPr>
            <w:tcW w:w="1559" w:type="dxa"/>
            <w:shd w:val="clear" w:color="auto" w:fill="auto"/>
            <w:vAlign w:val="center"/>
          </w:tcPr>
          <w:p w14:paraId="3E71B702"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72</w:t>
            </w:r>
            <w:r>
              <w:rPr>
                <w:rFonts w:ascii="Calibri" w:hAnsi="Calibri" w:cs="Calibri"/>
                <w:color w:val="000000"/>
              </w:rPr>
              <w:t>%</w:t>
            </w:r>
          </w:p>
        </w:tc>
      </w:tr>
      <w:tr w:rsidR="00F75A65" w:rsidRPr="002A0AE6" w14:paraId="1DB9C7CE" w14:textId="77777777" w:rsidTr="00C67671">
        <w:tc>
          <w:tcPr>
            <w:tcW w:w="7513" w:type="dxa"/>
            <w:tcBorders>
              <w:bottom w:val="single" w:sz="4" w:space="0" w:color="auto"/>
            </w:tcBorders>
            <w:shd w:val="clear" w:color="auto" w:fill="auto"/>
          </w:tcPr>
          <w:p w14:paraId="67A06175"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TP08: Agreement that the landlord treats tenant fairly and with respect</w:t>
            </w:r>
          </w:p>
        </w:tc>
        <w:tc>
          <w:tcPr>
            <w:tcW w:w="1559" w:type="dxa"/>
            <w:tcBorders>
              <w:bottom w:val="single" w:sz="4" w:space="0" w:color="auto"/>
            </w:tcBorders>
            <w:shd w:val="clear" w:color="auto" w:fill="auto"/>
            <w:vAlign w:val="center"/>
          </w:tcPr>
          <w:p w14:paraId="0EC7B00E" w14:textId="1DF28A5B"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7</w:t>
            </w:r>
            <w:r>
              <w:rPr>
                <w:rFonts w:ascii="Calibri" w:hAnsi="Calibri" w:cs="Calibri"/>
                <w:color w:val="000000"/>
              </w:rPr>
              <w:t>4</w:t>
            </w:r>
            <w:r>
              <w:rPr>
                <w:rFonts w:ascii="Calibri" w:hAnsi="Calibri" w:cs="Calibri"/>
                <w:color w:val="000000"/>
              </w:rPr>
              <w:t>%</w:t>
            </w:r>
          </w:p>
        </w:tc>
      </w:tr>
      <w:tr w:rsidR="00F75A65" w:rsidRPr="002A0AE6" w14:paraId="1F8568E8" w14:textId="77777777" w:rsidTr="00C67671">
        <w:tc>
          <w:tcPr>
            <w:tcW w:w="7513" w:type="dxa"/>
            <w:tcBorders>
              <w:bottom w:val="single" w:sz="4" w:space="0" w:color="auto"/>
            </w:tcBorders>
            <w:shd w:val="clear" w:color="auto" w:fill="auto"/>
          </w:tcPr>
          <w:p w14:paraId="7B32DE95"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 xml:space="preserve">TP09: Satisfaction with the landlord’s approach to handling complaints </w:t>
            </w:r>
          </w:p>
        </w:tc>
        <w:tc>
          <w:tcPr>
            <w:tcW w:w="1559" w:type="dxa"/>
            <w:tcBorders>
              <w:bottom w:val="single" w:sz="4" w:space="0" w:color="auto"/>
            </w:tcBorders>
            <w:shd w:val="clear" w:color="auto" w:fill="auto"/>
            <w:vAlign w:val="center"/>
          </w:tcPr>
          <w:p w14:paraId="6991F589"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29</w:t>
            </w:r>
            <w:r>
              <w:rPr>
                <w:rFonts w:ascii="Calibri" w:hAnsi="Calibri" w:cs="Calibri"/>
                <w:color w:val="000000"/>
              </w:rPr>
              <w:t>%</w:t>
            </w:r>
          </w:p>
        </w:tc>
      </w:tr>
      <w:tr w:rsidR="00F75A65" w:rsidRPr="002A0AE6" w14:paraId="547059AE" w14:textId="77777777" w:rsidTr="00C67671">
        <w:tc>
          <w:tcPr>
            <w:tcW w:w="7513" w:type="dxa"/>
            <w:shd w:val="clear" w:color="auto" w:fill="auto"/>
          </w:tcPr>
          <w:p w14:paraId="5C16417B"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TP10: Satisfaction that the landlord keeps communal areas clean and well maintained</w:t>
            </w:r>
          </w:p>
        </w:tc>
        <w:tc>
          <w:tcPr>
            <w:tcW w:w="1559" w:type="dxa"/>
            <w:shd w:val="clear" w:color="auto" w:fill="auto"/>
            <w:vAlign w:val="center"/>
          </w:tcPr>
          <w:p w14:paraId="5CDAE42C"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60</w:t>
            </w:r>
            <w:r>
              <w:rPr>
                <w:rFonts w:ascii="Calibri" w:hAnsi="Calibri" w:cs="Calibri"/>
                <w:color w:val="000000"/>
              </w:rPr>
              <w:t>%</w:t>
            </w:r>
          </w:p>
        </w:tc>
      </w:tr>
      <w:tr w:rsidR="00F75A65" w:rsidRPr="002A0AE6" w14:paraId="0DD3769C" w14:textId="77777777" w:rsidTr="00C67671">
        <w:tc>
          <w:tcPr>
            <w:tcW w:w="7513" w:type="dxa"/>
            <w:shd w:val="clear" w:color="auto" w:fill="auto"/>
          </w:tcPr>
          <w:p w14:paraId="752D3F0D"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 xml:space="preserve">TP11: Satisfaction that the landlord makes a positive contribution to neighbourhoods </w:t>
            </w:r>
          </w:p>
        </w:tc>
        <w:tc>
          <w:tcPr>
            <w:tcW w:w="1559" w:type="dxa"/>
            <w:shd w:val="clear" w:color="auto" w:fill="auto"/>
            <w:vAlign w:val="center"/>
          </w:tcPr>
          <w:p w14:paraId="63D8C391"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60</w:t>
            </w:r>
            <w:r>
              <w:rPr>
                <w:rFonts w:ascii="Calibri" w:hAnsi="Calibri" w:cs="Calibri"/>
                <w:color w:val="000000"/>
              </w:rPr>
              <w:t>%</w:t>
            </w:r>
          </w:p>
        </w:tc>
      </w:tr>
      <w:tr w:rsidR="00F75A65" w:rsidRPr="002A0AE6" w14:paraId="7D37D32F" w14:textId="77777777" w:rsidTr="00C67671">
        <w:tc>
          <w:tcPr>
            <w:tcW w:w="7513" w:type="dxa"/>
            <w:shd w:val="clear" w:color="auto" w:fill="auto"/>
          </w:tcPr>
          <w:p w14:paraId="0479E57D" w14:textId="77777777" w:rsidR="00F75A65" w:rsidRPr="002A0AE6" w:rsidRDefault="00F75A65" w:rsidP="00C67671">
            <w:pPr>
              <w:spacing w:after="0" w:line="240" w:lineRule="auto"/>
              <w:rPr>
                <w:rFonts w:ascii="Calibri" w:eastAsia="Times New Roman" w:hAnsi="Calibri" w:cs="Calibri"/>
                <w:lang w:eastAsia="en-GB"/>
              </w:rPr>
            </w:pPr>
            <w:r w:rsidRPr="002A0AE6">
              <w:rPr>
                <w:rFonts w:ascii="Calibri" w:eastAsia="Times New Roman" w:hAnsi="Calibri" w:cs="Calibri"/>
                <w:lang w:eastAsia="en-GB"/>
              </w:rPr>
              <w:t xml:space="preserve">TP12: Satisfaction with the landlord’s approach to handling anti-social behaviour </w:t>
            </w:r>
          </w:p>
        </w:tc>
        <w:tc>
          <w:tcPr>
            <w:tcW w:w="1559" w:type="dxa"/>
            <w:shd w:val="clear" w:color="auto" w:fill="auto"/>
            <w:vAlign w:val="center"/>
          </w:tcPr>
          <w:p w14:paraId="5365A355" w14:textId="77777777" w:rsidR="00F75A65" w:rsidRPr="002A0AE6" w:rsidRDefault="00F75A65" w:rsidP="00C67671">
            <w:pPr>
              <w:spacing w:after="0" w:line="240" w:lineRule="auto"/>
              <w:jc w:val="center"/>
              <w:rPr>
                <w:rFonts w:ascii="Calibri" w:eastAsia="Times New Roman" w:hAnsi="Calibri" w:cs="Calibri"/>
                <w:lang w:eastAsia="en-GB"/>
              </w:rPr>
            </w:pPr>
            <w:r w:rsidRPr="000C503B">
              <w:rPr>
                <w:rFonts w:ascii="Calibri" w:hAnsi="Calibri" w:cs="Calibri"/>
                <w:color w:val="000000"/>
              </w:rPr>
              <w:t>60</w:t>
            </w:r>
            <w:r>
              <w:rPr>
                <w:rFonts w:ascii="Calibri" w:hAnsi="Calibri" w:cs="Calibri"/>
                <w:color w:val="000000"/>
              </w:rPr>
              <w:t>%</w:t>
            </w:r>
          </w:p>
        </w:tc>
      </w:tr>
    </w:tbl>
    <w:p w14:paraId="545BFD46" w14:textId="77777777" w:rsidR="004E4769" w:rsidRDefault="004E4769" w:rsidP="00023824"/>
    <w:p w14:paraId="5569C71D" w14:textId="77777777" w:rsidR="004E4769" w:rsidRDefault="004E4769" w:rsidP="00023824"/>
    <w:p w14:paraId="1F14D9AB" w14:textId="77777777" w:rsidR="004E4769" w:rsidRDefault="004E4769" w:rsidP="00023824"/>
    <w:p w14:paraId="19F65199" w14:textId="77777777" w:rsidR="00263F63" w:rsidRDefault="00263F63" w:rsidP="00023824"/>
    <w:p w14:paraId="66EA21BC" w14:textId="3F1D0682" w:rsidR="00232AE1" w:rsidRDefault="00232AE1" w:rsidP="00232AE1">
      <w:pPr>
        <w:pStyle w:val="ListParagraph"/>
      </w:pPr>
    </w:p>
    <w:p w14:paraId="5FE21C6F" w14:textId="77777777" w:rsidR="00F75A65" w:rsidRDefault="00F75A65" w:rsidP="00F75A65"/>
    <w:p w14:paraId="73CC1DBE" w14:textId="77777777" w:rsidR="00F75A65" w:rsidRDefault="00F75A65" w:rsidP="00F75A65">
      <w:pPr>
        <w:pStyle w:val="ListParagraph"/>
      </w:pPr>
    </w:p>
    <w:p w14:paraId="59F9C5CB" w14:textId="77777777" w:rsidR="00F75A65" w:rsidRDefault="00F75A65" w:rsidP="00F75A65">
      <w:pPr>
        <w:pStyle w:val="ListParagraph"/>
      </w:pPr>
    </w:p>
    <w:p w14:paraId="6FE7A4A8" w14:textId="77777777" w:rsidR="00F75A65" w:rsidRDefault="00F75A65" w:rsidP="00F75A65">
      <w:pPr>
        <w:pStyle w:val="ListParagraph"/>
      </w:pPr>
    </w:p>
    <w:p w14:paraId="5EA47768" w14:textId="77777777" w:rsidR="00F75A65" w:rsidRDefault="00F75A65" w:rsidP="00F75A65">
      <w:pPr>
        <w:pStyle w:val="ListParagraph"/>
      </w:pPr>
    </w:p>
    <w:p w14:paraId="320BFAA2" w14:textId="77777777" w:rsidR="00F75A65" w:rsidRDefault="00F75A65" w:rsidP="00F75A65">
      <w:pPr>
        <w:pStyle w:val="ListParagraph"/>
      </w:pPr>
    </w:p>
    <w:p w14:paraId="1FA5CCC8" w14:textId="77777777" w:rsidR="00F75A65" w:rsidRDefault="00F75A65" w:rsidP="00F75A65">
      <w:pPr>
        <w:pStyle w:val="ListParagraph"/>
      </w:pPr>
    </w:p>
    <w:p w14:paraId="411F6983" w14:textId="0069BEDF" w:rsidR="00232AE1" w:rsidRPr="00795DB8" w:rsidRDefault="00232AE1" w:rsidP="00263F63">
      <w:pPr>
        <w:pStyle w:val="ListParagraph"/>
        <w:numPr>
          <w:ilvl w:val="1"/>
          <w:numId w:val="2"/>
        </w:numPr>
        <w:rPr>
          <w:b/>
          <w:bCs/>
        </w:rPr>
      </w:pPr>
      <w:r w:rsidRPr="00795DB8">
        <w:rPr>
          <w:b/>
          <w:bCs/>
        </w:rPr>
        <w:t xml:space="preserve">Landlord measures </w:t>
      </w:r>
    </w:p>
    <w:tbl>
      <w:tblPr>
        <w:tblpPr w:leftFromText="180" w:rightFromText="180" w:vertAnchor="page" w:horzAnchor="margin" w:tblpXSpec="center" w:tblpY="10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43"/>
        <w:gridCol w:w="1559"/>
      </w:tblGrid>
      <w:tr w:rsidR="00F75A65" w:rsidRPr="00232AE1" w14:paraId="64ED0C5C" w14:textId="77777777" w:rsidTr="00C67671">
        <w:tc>
          <w:tcPr>
            <w:tcW w:w="5665" w:type="dxa"/>
            <w:tcBorders>
              <w:bottom w:val="single" w:sz="4" w:space="0" w:color="auto"/>
            </w:tcBorders>
            <w:shd w:val="clear" w:color="auto" w:fill="D9D9D9"/>
          </w:tcPr>
          <w:p w14:paraId="689A1084" w14:textId="77777777" w:rsidR="00F75A65" w:rsidRPr="00232AE1" w:rsidRDefault="00F75A65" w:rsidP="00C67671">
            <w:pPr>
              <w:spacing w:after="0" w:line="240" w:lineRule="auto"/>
              <w:rPr>
                <w:rFonts w:ascii="Calibri" w:eastAsia="Times New Roman" w:hAnsi="Calibri" w:cs="Calibri"/>
                <w:b/>
                <w:bCs/>
                <w:lang w:eastAsia="en-GB"/>
              </w:rPr>
            </w:pPr>
            <w:r w:rsidRPr="00232AE1">
              <w:rPr>
                <w:rFonts w:ascii="Calibri" w:eastAsia="Times New Roman" w:hAnsi="Calibri" w:cs="Calibri"/>
                <w:b/>
                <w:bCs/>
                <w:lang w:eastAsia="en-GB"/>
              </w:rPr>
              <w:t>Measure</w:t>
            </w:r>
          </w:p>
        </w:tc>
        <w:tc>
          <w:tcPr>
            <w:tcW w:w="1843" w:type="dxa"/>
            <w:tcBorders>
              <w:bottom w:val="single" w:sz="4" w:space="0" w:color="auto"/>
            </w:tcBorders>
            <w:shd w:val="clear" w:color="auto" w:fill="D9D9D9"/>
          </w:tcPr>
          <w:p w14:paraId="79787F6D" w14:textId="77777777" w:rsidR="00F75A65" w:rsidRPr="00232AE1" w:rsidRDefault="00F75A65" w:rsidP="00C67671">
            <w:pPr>
              <w:spacing w:after="0" w:line="240" w:lineRule="auto"/>
              <w:rPr>
                <w:rFonts w:ascii="Calibri" w:eastAsia="Times New Roman" w:hAnsi="Calibri" w:cs="Calibri"/>
                <w:b/>
                <w:bCs/>
                <w:lang w:eastAsia="en-GB"/>
              </w:rPr>
            </w:pPr>
            <w:r w:rsidRPr="00232AE1">
              <w:rPr>
                <w:rFonts w:ascii="Calibri" w:eastAsia="Times New Roman" w:hAnsi="Calibri" w:cs="Calibri"/>
                <w:b/>
                <w:bCs/>
                <w:lang w:eastAsia="en-GB"/>
              </w:rPr>
              <w:t>Subcategory</w:t>
            </w:r>
          </w:p>
        </w:tc>
        <w:tc>
          <w:tcPr>
            <w:tcW w:w="1559" w:type="dxa"/>
            <w:tcBorders>
              <w:bottom w:val="single" w:sz="4" w:space="0" w:color="auto"/>
            </w:tcBorders>
            <w:shd w:val="clear" w:color="auto" w:fill="D9D9D9"/>
          </w:tcPr>
          <w:p w14:paraId="1EBD72E2" w14:textId="77777777" w:rsidR="00F75A65" w:rsidRPr="00232AE1" w:rsidRDefault="00F75A65" w:rsidP="00C67671">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2024/25</w:t>
            </w:r>
            <w:r w:rsidRPr="00232AE1">
              <w:rPr>
                <w:rFonts w:ascii="Calibri" w:eastAsia="Times New Roman" w:hAnsi="Calibri" w:cs="Calibri"/>
                <w:b/>
                <w:bCs/>
                <w:lang w:eastAsia="en-GB"/>
              </w:rPr>
              <w:t xml:space="preserve"> result</w:t>
            </w:r>
          </w:p>
        </w:tc>
      </w:tr>
      <w:tr w:rsidR="00F75A65" w:rsidRPr="00232AE1" w14:paraId="4845910D" w14:textId="77777777" w:rsidTr="00C67671">
        <w:tc>
          <w:tcPr>
            <w:tcW w:w="5665" w:type="dxa"/>
            <w:shd w:val="clear" w:color="auto" w:fill="auto"/>
          </w:tcPr>
          <w:p w14:paraId="75001177"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 xml:space="preserve">RP01: Homes that do not meet the decent standard </w:t>
            </w:r>
          </w:p>
        </w:tc>
        <w:tc>
          <w:tcPr>
            <w:tcW w:w="1843" w:type="dxa"/>
            <w:shd w:val="clear" w:color="auto" w:fill="auto"/>
          </w:tcPr>
          <w:p w14:paraId="1EAAFF96"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w:t>
            </w:r>
          </w:p>
        </w:tc>
        <w:tc>
          <w:tcPr>
            <w:tcW w:w="1559" w:type="dxa"/>
            <w:shd w:val="clear" w:color="auto" w:fill="auto"/>
          </w:tcPr>
          <w:p w14:paraId="211BF2FD" w14:textId="77777777" w:rsidR="00F75A65" w:rsidRPr="00232AE1" w:rsidRDefault="00F75A65" w:rsidP="00C67671">
            <w:pPr>
              <w:spacing w:after="0" w:line="240" w:lineRule="auto"/>
              <w:jc w:val="center"/>
              <w:rPr>
                <w:rFonts w:ascii="Calibri" w:eastAsia="Times New Roman" w:hAnsi="Calibri" w:cs="Calibri"/>
                <w:lang w:eastAsia="en-GB"/>
              </w:rPr>
            </w:pPr>
            <w:r>
              <w:rPr>
                <w:rFonts w:ascii="Calibri" w:hAnsi="Calibri" w:cs="Calibri"/>
                <w:sz w:val="21"/>
                <w:szCs w:val="21"/>
              </w:rPr>
              <w:t>18%</w:t>
            </w:r>
          </w:p>
        </w:tc>
      </w:tr>
      <w:tr w:rsidR="00F75A65" w:rsidRPr="00232AE1" w14:paraId="577D3232" w14:textId="77777777" w:rsidTr="00C67671">
        <w:tc>
          <w:tcPr>
            <w:tcW w:w="5665" w:type="dxa"/>
            <w:vMerge w:val="restart"/>
            <w:shd w:val="clear" w:color="auto" w:fill="auto"/>
          </w:tcPr>
          <w:p w14:paraId="2FDA81F4"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 xml:space="preserve">RP02: Repairs completed within target timescale </w:t>
            </w:r>
          </w:p>
        </w:tc>
        <w:tc>
          <w:tcPr>
            <w:tcW w:w="1843" w:type="dxa"/>
            <w:shd w:val="clear" w:color="auto" w:fill="auto"/>
          </w:tcPr>
          <w:p w14:paraId="6CB84C7F"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Non-emergency</w:t>
            </w:r>
          </w:p>
        </w:tc>
        <w:tc>
          <w:tcPr>
            <w:tcW w:w="1559" w:type="dxa"/>
            <w:shd w:val="clear" w:color="auto" w:fill="auto"/>
          </w:tcPr>
          <w:p w14:paraId="755BA2B0" w14:textId="04A80688" w:rsidR="00F75A65" w:rsidRPr="00232AE1" w:rsidRDefault="00F75A65" w:rsidP="00C67671">
            <w:pPr>
              <w:spacing w:after="0" w:line="240" w:lineRule="auto"/>
              <w:jc w:val="center"/>
              <w:rPr>
                <w:rFonts w:ascii="Calibri" w:eastAsia="Times New Roman" w:hAnsi="Calibri" w:cs="Calibri"/>
                <w:lang w:eastAsia="en-GB"/>
              </w:rPr>
            </w:pPr>
            <w:r>
              <w:rPr>
                <w:rFonts w:ascii="Calibri" w:hAnsi="Calibri" w:cs="Calibri"/>
                <w:color w:val="000000"/>
              </w:rPr>
              <w:t>6</w:t>
            </w:r>
            <w:r w:rsidR="00C67671">
              <w:rPr>
                <w:rFonts w:ascii="Calibri" w:hAnsi="Calibri" w:cs="Calibri"/>
                <w:color w:val="000000"/>
              </w:rPr>
              <w:t>0.68</w:t>
            </w:r>
            <w:r>
              <w:rPr>
                <w:rFonts w:ascii="Calibri" w:hAnsi="Calibri" w:cs="Calibri"/>
                <w:color w:val="000000"/>
              </w:rPr>
              <w:t>%</w:t>
            </w:r>
          </w:p>
        </w:tc>
      </w:tr>
      <w:tr w:rsidR="00F75A65" w:rsidRPr="00232AE1" w14:paraId="6B28652D" w14:textId="77777777" w:rsidTr="00C67671">
        <w:tc>
          <w:tcPr>
            <w:tcW w:w="5665" w:type="dxa"/>
            <w:vMerge/>
            <w:tcBorders>
              <w:bottom w:val="single" w:sz="4" w:space="0" w:color="auto"/>
            </w:tcBorders>
            <w:shd w:val="clear" w:color="auto" w:fill="auto"/>
          </w:tcPr>
          <w:p w14:paraId="78FB9688" w14:textId="77777777" w:rsidR="00F75A65" w:rsidRPr="00232AE1" w:rsidRDefault="00F75A65" w:rsidP="00C67671">
            <w:pPr>
              <w:spacing w:after="0" w:line="240" w:lineRule="auto"/>
              <w:rPr>
                <w:rFonts w:ascii="Calibri" w:eastAsia="Times New Roman" w:hAnsi="Calibri" w:cs="Calibri"/>
                <w:lang w:eastAsia="en-GB"/>
              </w:rPr>
            </w:pPr>
          </w:p>
        </w:tc>
        <w:tc>
          <w:tcPr>
            <w:tcW w:w="1843" w:type="dxa"/>
            <w:tcBorders>
              <w:bottom w:val="single" w:sz="4" w:space="0" w:color="auto"/>
            </w:tcBorders>
            <w:shd w:val="clear" w:color="auto" w:fill="auto"/>
          </w:tcPr>
          <w:p w14:paraId="66CACE99"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Emergency</w:t>
            </w:r>
          </w:p>
        </w:tc>
        <w:tc>
          <w:tcPr>
            <w:tcW w:w="1559" w:type="dxa"/>
            <w:tcBorders>
              <w:bottom w:val="single" w:sz="4" w:space="0" w:color="auto"/>
            </w:tcBorders>
            <w:shd w:val="clear" w:color="auto" w:fill="auto"/>
          </w:tcPr>
          <w:p w14:paraId="0D64B2B4" w14:textId="4D70AB2A" w:rsidR="00F75A65" w:rsidRPr="00232AE1" w:rsidRDefault="00F75A65" w:rsidP="00C67671">
            <w:pPr>
              <w:spacing w:after="0" w:line="240" w:lineRule="auto"/>
              <w:jc w:val="center"/>
              <w:rPr>
                <w:rFonts w:ascii="Calibri" w:eastAsia="Times New Roman" w:hAnsi="Calibri" w:cs="Calibri"/>
                <w:lang w:eastAsia="en-GB"/>
              </w:rPr>
            </w:pPr>
            <w:r>
              <w:rPr>
                <w:rFonts w:ascii="Calibri" w:hAnsi="Calibri" w:cs="Calibri"/>
                <w:color w:val="000000"/>
              </w:rPr>
              <w:t>8</w:t>
            </w:r>
            <w:r w:rsidR="00C67671">
              <w:rPr>
                <w:rFonts w:ascii="Calibri" w:hAnsi="Calibri" w:cs="Calibri"/>
                <w:color w:val="000000"/>
              </w:rPr>
              <w:t>4.93</w:t>
            </w:r>
            <w:r>
              <w:rPr>
                <w:rFonts w:ascii="Calibri" w:hAnsi="Calibri" w:cs="Calibri"/>
                <w:color w:val="000000"/>
              </w:rPr>
              <w:t>%</w:t>
            </w:r>
          </w:p>
        </w:tc>
      </w:tr>
      <w:tr w:rsidR="00F75A65" w:rsidRPr="00232AE1" w14:paraId="523DA54F" w14:textId="77777777" w:rsidTr="00C67671">
        <w:tc>
          <w:tcPr>
            <w:tcW w:w="5665" w:type="dxa"/>
            <w:shd w:val="clear" w:color="auto" w:fill="auto"/>
          </w:tcPr>
          <w:p w14:paraId="07BE5B9F"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BS01: Gas safety checks</w:t>
            </w:r>
          </w:p>
        </w:tc>
        <w:tc>
          <w:tcPr>
            <w:tcW w:w="1843" w:type="dxa"/>
            <w:shd w:val="clear" w:color="auto" w:fill="auto"/>
          </w:tcPr>
          <w:p w14:paraId="2CCDA85F"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w:t>
            </w:r>
          </w:p>
        </w:tc>
        <w:tc>
          <w:tcPr>
            <w:tcW w:w="1559" w:type="dxa"/>
            <w:shd w:val="clear" w:color="auto" w:fill="auto"/>
          </w:tcPr>
          <w:p w14:paraId="68C11488" w14:textId="77777777" w:rsidR="00F75A65" w:rsidRPr="00232AE1" w:rsidRDefault="00F75A65" w:rsidP="00C67671">
            <w:pPr>
              <w:spacing w:after="0" w:line="240" w:lineRule="auto"/>
              <w:jc w:val="center"/>
              <w:rPr>
                <w:rFonts w:ascii="Calibri" w:eastAsia="Times New Roman" w:hAnsi="Calibri" w:cs="Calibri"/>
                <w:lang w:eastAsia="en-GB"/>
              </w:rPr>
            </w:pPr>
            <w:r>
              <w:rPr>
                <w:rFonts w:ascii="Calibri" w:hAnsi="Calibri" w:cs="Calibri"/>
                <w:color w:val="000000"/>
              </w:rPr>
              <w:t>99.88%</w:t>
            </w:r>
          </w:p>
        </w:tc>
      </w:tr>
      <w:tr w:rsidR="00F75A65" w:rsidRPr="00232AE1" w14:paraId="1946E995" w14:textId="77777777" w:rsidTr="00C67671">
        <w:tc>
          <w:tcPr>
            <w:tcW w:w="5665" w:type="dxa"/>
            <w:shd w:val="clear" w:color="auto" w:fill="auto"/>
          </w:tcPr>
          <w:p w14:paraId="21FBA3DD"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BS02: Fire safety checks</w:t>
            </w:r>
          </w:p>
        </w:tc>
        <w:tc>
          <w:tcPr>
            <w:tcW w:w="1843" w:type="dxa"/>
            <w:shd w:val="clear" w:color="auto" w:fill="auto"/>
          </w:tcPr>
          <w:p w14:paraId="4DCA18CC"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w:t>
            </w:r>
          </w:p>
        </w:tc>
        <w:tc>
          <w:tcPr>
            <w:tcW w:w="1559" w:type="dxa"/>
            <w:shd w:val="clear" w:color="auto" w:fill="auto"/>
          </w:tcPr>
          <w:p w14:paraId="5D2616D6" w14:textId="77777777" w:rsidR="00F75A65" w:rsidRPr="00232AE1" w:rsidRDefault="00F75A65" w:rsidP="00C67671">
            <w:pPr>
              <w:spacing w:after="0" w:line="240" w:lineRule="auto"/>
              <w:jc w:val="center"/>
              <w:rPr>
                <w:rFonts w:ascii="Calibri" w:eastAsia="Times New Roman" w:hAnsi="Calibri" w:cs="Calibri"/>
                <w:lang w:eastAsia="en-GB"/>
              </w:rPr>
            </w:pPr>
            <w:r>
              <w:rPr>
                <w:rFonts w:ascii="Calibri" w:hAnsi="Calibri" w:cs="Calibri"/>
                <w:color w:val="000000"/>
              </w:rPr>
              <w:t>100%</w:t>
            </w:r>
          </w:p>
        </w:tc>
      </w:tr>
      <w:tr w:rsidR="00F75A65" w:rsidRPr="00232AE1" w14:paraId="4053F458" w14:textId="77777777" w:rsidTr="00C67671">
        <w:tc>
          <w:tcPr>
            <w:tcW w:w="5665" w:type="dxa"/>
            <w:shd w:val="clear" w:color="auto" w:fill="auto"/>
          </w:tcPr>
          <w:p w14:paraId="507BCACD"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 xml:space="preserve">BS03: Asbestos safety checks </w:t>
            </w:r>
          </w:p>
        </w:tc>
        <w:tc>
          <w:tcPr>
            <w:tcW w:w="1843" w:type="dxa"/>
            <w:shd w:val="clear" w:color="auto" w:fill="auto"/>
          </w:tcPr>
          <w:p w14:paraId="381FF3DD"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w:t>
            </w:r>
          </w:p>
        </w:tc>
        <w:tc>
          <w:tcPr>
            <w:tcW w:w="1559" w:type="dxa"/>
            <w:shd w:val="clear" w:color="auto" w:fill="auto"/>
          </w:tcPr>
          <w:p w14:paraId="3CDB3383" w14:textId="30335A4B" w:rsidR="00F75A65" w:rsidRPr="00232AE1" w:rsidRDefault="00C67671" w:rsidP="00C67671">
            <w:pPr>
              <w:spacing w:after="0" w:line="240" w:lineRule="auto"/>
              <w:jc w:val="center"/>
              <w:rPr>
                <w:rFonts w:ascii="Calibri" w:eastAsia="Times New Roman" w:hAnsi="Calibri" w:cs="Calibri"/>
                <w:lang w:eastAsia="en-GB"/>
              </w:rPr>
            </w:pPr>
            <w:r>
              <w:rPr>
                <w:rFonts w:ascii="Calibri" w:hAnsi="Calibri" w:cs="Calibri"/>
                <w:color w:val="000000"/>
              </w:rPr>
              <w:t>100</w:t>
            </w:r>
            <w:r w:rsidR="00F75A65">
              <w:rPr>
                <w:rFonts w:ascii="Calibri" w:hAnsi="Calibri" w:cs="Calibri"/>
                <w:color w:val="000000"/>
              </w:rPr>
              <w:t>%</w:t>
            </w:r>
          </w:p>
        </w:tc>
      </w:tr>
      <w:tr w:rsidR="00F75A65" w:rsidRPr="00232AE1" w14:paraId="68894300" w14:textId="77777777" w:rsidTr="00C67671">
        <w:tc>
          <w:tcPr>
            <w:tcW w:w="5665" w:type="dxa"/>
            <w:shd w:val="clear" w:color="auto" w:fill="auto"/>
          </w:tcPr>
          <w:p w14:paraId="6FD19FF2"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BS04: Water safety checks</w:t>
            </w:r>
          </w:p>
        </w:tc>
        <w:tc>
          <w:tcPr>
            <w:tcW w:w="1843" w:type="dxa"/>
            <w:shd w:val="clear" w:color="auto" w:fill="auto"/>
          </w:tcPr>
          <w:p w14:paraId="57F1E7CC"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w:t>
            </w:r>
          </w:p>
        </w:tc>
        <w:tc>
          <w:tcPr>
            <w:tcW w:w="1559" w:type="dxa"/>
            <w:shd w:val="clear" w:color="auto" w:fill="auto"/>
          </w:tcPr>
          <w:p w14:paraId="765651B3" w14:textId="19D01A1E" w:rsidR="00F75A65" w:rsidRPr="00232AE1" w:rsidRDefault="00C67671" w:rsidP="00C67671">
            <w:pPr>
              <w:spacing w:after="0" w:line="240" w:lineRule="auto"/>
              <w:jc w:val="center"/>
              <w:rPr>
                <w:rFonts w:ascii="Calibri" w:eastAsia="Times New Roman" w:hAnsi="Calibri" w:cs="Calibri"/>
                <w:lang w:eastAsia="en-GB"/>
              </w:rPr>
            </w:pPr>
            <w:r>
              <w:rPr>
                <w:rFonts w:ascii="Calibri" w:hAnsi="Calibri" w:cs="Calibri"/>
                <w:sz w:val="21"/>
                <w:szCs w:val="21"/>
              </w:rPr>
              <w:t>100</w:t>
            </w:r>
            <w:r w:rsidR="00F75A65">
              <w:rPr>
                <w:rFonts w:ascii="Calibri" w:hAnsi="Calibri" w:cs="Calibri"/>
                <w:sz w:val="21"/>
                <w:szCs w:val="21"/>
              </w:rPr>
              <w:t>%</w:t>
            </w:r>
          </w:p>
        </w:tc>
      </w:tr>
      <w:tr w:rsidR="00F75A65" w:rsidRPr="00232AE1" w14:paraId="535E5C42" w14:textId="77777777" w:rsidTr="00C67671">
        <w:tc>
          <w:tcPr>
            <w:tcW w:w="5665" w:type="dxa"/>
            <w:tcBorders>
              <w:bottom w:val="single" w:sz="4" w:space="0" w:color="auto"/>
            </w:tcBorders>
            <w:shd w:val="clear" w:color="auto" w:fill="auto"/>
          </w:tcPr>
          <w:p w14:paraId="74DC4451"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 xml:space="preserve">BS05: Lift safety checks </w:t>
            </w:r>
          </w:p>
        </w:tc>
        <w:tc>
          <w:tcPr>
            <w:tcW w:w="1843" w:type="dxa"/>
            <w:tcBorders>
              <w:bottom w:val="single" w:sz="4" w:space="0" w:color="auto"/>
            </w:tcBorders>
            <w:shd w:val="clear" w:color="auto" w:fill="auto"/>
          </w:tcPr>
          <w:p w14:paraId="4135D827"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w:t>
            </w:r>
          </w:p>
        </w:tc>
        <w:tc>
          <w:tcPr>
            <w:tcW w:w="1559" w:type="dxa"/>
            <w:tcBorders>
              <w:bottom w:val="single" w:sz="4" w:space="0" w:color="auto"/>
            </w:tcBorders>
            <w:shd w:val="clear" w:color="auto" w:fill="auto"/>
          </w:tcPr>
          <w:p w14:paraId="49B22C68" w14:textId="77777777" w:rsidR="00F75A65" w:rsidRPr="00232AE1" w:rsidRDefault="00F75A65" w:rsidP="00C67671">
            <w:pPr>
              <w:spacing w:after="0" w:line="240" w:lineRule="auto"/>
              <w:jc w:val="center"/>
              <w:rPr>
                <w:rFonts w:ascii="Calibri" w:eastAsia="Times New Roman" w:hAnsi="Calibri" w:cs="Calibri"/>
                <w:lang w:eastAsia="en-GB"/>
              </w:rPr>
            </w:pPr>
            <w:r>
              <w:rPr>
                <w:rFonts w:ascii="Calibri" w:hAnsi="Calibri" w:cs="Calibri"/>
                <w:sz w:val="21"/>
                <w:szCs w:val="21"/>
              </w:rPr>
              <w:t>100%</w:t>
            </w:r>
          </w:p>
        </w:tc>
      </w:tr>
      <w:tr w:rsidR="00F75A65" w:rsidRPr="00232AE1" w14:paraId="0A4AADDE" w14:textId="77777777" w:rsidTr="00C67671">
        <w:tc>
          <w:tcPr>
            <w:tcW w:w="5665" w:type="dxa"/>
            <w:vMerge w:val="restart"/>
            <w:shd w:val="clear" w:color="auto" w:fill="auto"/>
          </w:tcPr>
          <w:p w14:paraId="66063EF2"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CH01: Complaints relative to the size of the landlord</w:t>
            </w:r>
            <w:r>
              <w:rPr>
                <w:rFonts w:ascii="Calibri" w:eastAsia="Times New Roman" w:hAnsi="Calibri" w:cs="Calibri"/>
                <w:lang w:eastAsia="en-GB"/>
              </w:rPr>
              <w:t>, per 1000 homes</w:t>
            </w:r>
          </w:p>
        </w:tc>
        <w:tc>
          <w:tcPr>
            <w:tcW w:w="1843" w:type="dxa"/>
            <w:shd w:val="clear" w:color="auto" w:fill="auto"/>
          </w:tcPr>
          <w:p w14:paraId="18A9A421"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Stage 1</w:t>
            </w:r>
          </w:p>
        </w:tc>
        <w:tc>
          <w:tcPr>
            <w:tcW w:w="1559" w:type="dxa"/>
            <w:shd w:val="clear" w:color="auto" w:fill="auto"/>
          </w:tcPr>
          <w:p w14:paraId="3F0A5424" w14:textId="77777777" w:rsidR="00F75A65" w:rsidRPr="00232AE1" w:rsidRDefault="00F75A65" w:rsidP="00C67671">
            <w:pPr>
              <w:spacing w:after="0" w:line="240" w:lineRule="auto"/>
              <w:jc w:val="center"/>
              <w:rPr>
                <w:rFonts w:ascii="Calibri" w:eastAsia="Times New Roman" w:hAnsi="Calibri" w:cs="Calibri"/>
                <w:lang w:eastAsia="en-GB"/>
              </w:rPr>
            </w:pPr>
            <w:r w:rsidRPr="00881437">
              <w:rPr>
                <w:rFonts w:ascii="Calibri" w:hAnsi="Calibri" w:cs="Calibri"/>
                <w:sz w:val="21"/>
                <w:szCs w:val="21"/>
              </w:rPr>
              <w:t>102.1</w:t>
            </w:r>
          </w:p>
        </w:tc>
      </w:tr>
      <w:tr w:rsidR="00F75A65" w:rsidRPr="00232AE1" w14:paraId="301D96DE" w14:textId="77777777" w:rsidTr="00C67671">
        <w:tc>
          <w:tcPr>
            <w:tcW w:w="5665" w:type="dxa"/>
            <w:vMerge/>
            <w:shd w:val="clear" w:color="auto" w:fill="auto"/>
          </w:tcPr>
          <w:p w14:paraId="6DFCC762" w14:textId="77777777" w:rsidR="00F75A65" w:rsidRPr="00232AE1" w:rsidRDefault="00F75A65" w:rsidP="00C67671">
            <w:pPr>
              <w:spacing w:after="0" w:line="240" w:lineRule="auto"/>
              <w:rPr>
                <w:rFonts w:ascii="Calibri" w:eastAsia="Times New Roman" w:hAnsi="Calibri" w:cs="Calibri"/>
                <w:lang w:eastAsia="en-GB"/>
              </w:rPr>
            </w:pPr>
          </w:p>
        </w:tc>
        <w:tc>
          <w:tcPr>
            <w:tcW w:w="1843" w:type="dxa"/>
            <w:shd w:val="clear" w:color="auto" w:fill="auto"/>
          </w:tcPr>
          <w:p w14:paraId="1579DB1D"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Stage 2</w:t>
            </w:r>
          </w:p>
        </w:tc>
        <w:tc>
          <w:tcPr>
            <w:tcW w:w="1559" w:type="dxa"/>
            <w:shd w:val="clear" w:color="auto" w:fill="auto"/>
          </w:tcPr>
          <w:p w14:paraId="7ED79936" w14:textId="77777777" w:rsidR="00F75A65" w:rsidRPr="00232AE1" w:rsidRDefault="00F75A65" w:rsidP="00C67671">
            <w:pPr>
              <w:spacing w:after="0" w:line="240" w:lineRule="auto"/>
              <w:jc w:val="center"/>
              <w:rPr>
                <w:rFonts w:ascii="Calibri" w:eastAsia="Times New Roman" w:hAnsi="Calibri" w:cs="Calibri"/>
                <w:lang w:eastAsia="en-GB"/>
              </w:rPr>
            </w:pPr>
            <w:r w:rsidRPr="00881437">
              <w:rPr>
                <w:rFonts w:ascii="Calibri" w:hAnsi="Calibri" w:cs="Calibri"/>
                <w:sz w:val="21"/>
                <w:szCs w:val="21"/>
              </w:rPr>
              <w:t>21.2</w:t>
            </w:r>
          </w:p>
        </w:tc>
      </w:tr>
      <w:tr w:rsidR="00F75A65" w:rsidRPr="00232AE1" w14:paraId="7CDEC52C" w14:textId="77777777" w:rsidTr="00C67671">
        <w:tc>
          <w:tcPr>
            <w:tcW w:w="5665" w:type="dxa"/>
            <w:vMerge w:val="restart"/>
            <w:shd w:val="clear" w:color="auto" w:fill="auto"/>
          </w:tcPr>
          <w:p w14:paraId="7A318C00"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CH02: Complaints responded to within Complaint Handling Code timescales</w:t>
            </w:r>
          </w:p>
        </w:tc>
        <w:tc>
          <w:tcPr>
            <w:tcW w:w="1843" w:type="dxa"/>
            <w:shd w:val="clear" w:color="auto" w:fill="auto"/>
          </w:tcPr>
          <w:p w14:paraId="59D4D588"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Stage 1</w:t>
            </w:r>
          </w:p>
        </w:tc>
        <w:tc>
          <w:tcPr>
            <w:tcW w:w="1559" w:type="dxa"/>
            <w:shd w:val="clear" w:color="auto" w:fill="auto"/>
          </w:tcPr>
          <w:p w14:paraId="5510B439" w14:textId="04D3C76C" w:rsidR="00F75A65" w:rsidRPr="00232AE1" w:rsidRDefault="00F75A65" w:rsidP="00C67671">
            <w:pPr>
              <w:spacing w:after="0" w:line="240" w:lineRule="auto"/>
              <w:jc w:val="center"/>
              <w:rPr>
                <w:rFonts w:ascii="Calibri" w:eastAsia="Times New Roman" w:hAnsi="Calibri" w:cs="Calibri"/>
                <w:lang w:eastAsia="en-GB"/>
              </w:rPr>
            </w:pPr>
            <w:r w:rsidRPr="00881437">
              <w:rPr>
                <w:rFonts w:ascii="Calibri" w:hAnsi="Calibri" w:cs="Calibri"/>
                <w:sz w:val="21"/>
                <w:szCs w:val="21"/>
              </w:rPr>
              <w:t>73.4</w:t>
            </w:r>
            <w:r w:rsidR="00C67671">
              <w:rPr>
                <w:rFonts w:ascii="Calibri" w:hAnsi="Calibri" w:cs="Calibri"/>
                <w:sz w:val="21"/>
                <w:szCs w:val="21"/>
              </w:rPr>
              <w:t>%</w:t>
            </w:r>
          </w:p>
        </w:tc>
      </w:tr>
      <w:tr w:rsidR="00F75A65" w:rsidRPr="00232AE1" w14:paraId="7066EB47" w14:textId="77777777" w:rsidTr="00C67671">
        <w:tc>
          <w:tcPr>
            <w:tcW w:w="5665" w:type="dxa"/>
            <w:vMerge/>
            <w:tcBorders>
              <w:bottom w:val="single" w:sz="4" w:space="0" w:color="auto"/>
            </w:tcBorders>
            <w:shd w:val="clear" w:color="auto" w:fill="auto"/>
          </w:tcPr>
          <w:p w14:paraId="093F1A5B" w14:textId="77777777" w:rsidR="00F75A65" w:rsidRPr="00232AE1" w:rsidRDefault="00F75A65" w:rsidP="00C67671">
            <w:pPr>
              <w:spacing w:after="0" w:line="240" w:lineRule="auto"/>
              <w:rPr>
                <w:rFonts w:ascii="Calibri" w:eastAsia="Times New Roman" w:hAnsi="Calibri" w:cs="Calibri"/>
                <w:lang w:eastAsia="en-GB"/>
              </w:rPr>
            </w:pPr>
          </w:p>
        </w:tc>
        <w:tc>
          <w:tcPr>
            <w:tcW w:w="1843" w:type="dxa"/>
            <w:tcBorders>
              <w:bottom w:val="single" w:sz="4" w:space="0" w:color="auto"/>
            </w:tcBorders>
            <w:shd w:val="clear" w:color="auto" w:fill="auto"/>
          </w:tcPr>
          <w:p w14:paraId="54E2C1CA"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Stage 2</w:t>
            </w:r>
          </w:p>
        </w:tc>
        <w:tc>
          <w:tcPr>
            <w:tcW w:w="1559" w:type="dxa"/>
            <w:tcBorders>
              <w:bottom w:val="single" w:sz="4" w:space="0" w:color="auto"/>
            </w:tcBorders>
            <w:shd w:val="clear" w:color="auto" w:fill="auto"/>
          </w:tcPr>
          <w:p w14:paraId="1A314D15" w14:textId="4B963F3E" w:rsidR="00F75A65" w:rsidRPr="00232AE1" w:rsidRDefault="00F75A65" w:rsidP="00C67671">
            <w:pPr>
              <w:spacing w:after="0" w:line="240" w:lineRule="auto"/>
              <w:jc w:val="center"/>
              <w:rPr>
                <w:rFonts w:ascii="Calibri" w:eastAsia="Times New Roman" w:hAnsi="Calibri" w:cs="Calibri"/>
                <w:lang w:eastAsia="en-GB"/>
              </w:rPr>
            </w:pPr>
            <w:r w:rsidRPr="00881437">
              <w:rPr>
                <w:rFonts w:ascii="Calibri" w:hAnsi="Calibri" w:cs="Calibri"/>
                <w:sz w:val="21"/>
                <w:szCs w:val="21"/>
              </w:rPr>
              <w:t>79.3</w:t>
            </w:r>
            <w:r w:rsidR="00C67671">
              <w:rPr>
                <w:rFonts w:ascii="Calibri" w:hAnsi="Calibri" w:cs="Calibri"/>
                <w:sz w:val="21"/>
                <w:szCs w:val="21"/>
              </w:rPr>
              <w:t>%</w:t>
            </w:r>
          </w:p>
        </w:tc>
      </w:tr>
      <w:tr w:rsidR="00F75A65" w:rsidRPr="00232AE1" w14:paraId="2B563382" w14:textId="77777777" w:rsidTr="00C67671">
        <w:tc>
          <w:tcPr>
            <w:tcW w:w="5665" w:type="dxa"/>
            <w:vMerge w:val="restart"/>
            <w:shd w:val="clear" w:color="auto" w:fill="auto"/>
          </w:tcPr>
          <w:p w14:paraId="375CFC07"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NM01: Anti-social behaviour cases relative to the size of the landlord</w:t>
            </w:r>
            <w:r>
              <w:rPr>
                <w:rFonts w:ascii="Calibri" w:eastAsia="Times New Roman" w:hAnsi="Calibri" w:cs="Calibri"/>
                <w:lang w:eastAsia="en-GB"/>
              </w:rPr>
              <w:t>, per 1000 homes</w:t>
            </w:r>
          </w:p>
        </w:tc>
        <w:tc>
          <w:tcPr>
            <w:tcW w:w="1843" w:type="dxa"/>
            <w:shd w:val="clear" w:color="auto" w:fill="auto"/>
          </w:tcPr>
          <w:p w14:paraId="053D6E7D"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All cases</w:t>
            </w:r>
            <w:r>
              <w:rPr>
                <w:rFonts w:ascii="Calibri" w:eastAsia="Times New Roman" w:hAnsi="Calibri" w:cs="Calibri"/>
                <w:lang w:eastAsia="en-GB"/>
              </w:rPr>
              <w:t xml:space="preserve"> </w:t>
            </w:r>
          </w:p>
        </w:tc>
        <w:tc>
          <w:tcPr>
            <w:tcW w:w="1559" w:type="dxa"/>
            <w:shd w:val="clear" w:color="auto" w:fill="auto"/>
          </w:tcPr>
          <w:p w14:paraId="20C47200" w14:textId="77777777" w:rsidR="00F75A65" w:rsidRPr="00232AE1" w:rsidRDefault="00F75A65" w:rsidP="00C67671">
            <w:pPr>
              <w:spacing w:after="0" w:line="240" w:lineRule="auto"/>
              <w:jc w:val="center"/>
              <w:rPr>
                <w:rFonts w:ascii="Calibri" w:eastAsia="Times New Roman" w:hAnsi="Calibri" w:cs="Calibri"/>
                <w:lang w:eastAsia="en-GB"/>
              </w:rPr>
            </w:pPr>
            <w:r>
              <w:rPr>
                <w:rFonts w:ascii="Calibri" w:hAnsi="Calibri" w:cs="Calibri"/>
                <w:sz w:val="21"/>
                <w:szCs w:val="21"/>
              </w:rPr>
              <w:t>29.7</w:t>
            </w:r>
          </w:p>
        </w:tc>
      </w:tr>
      <w:tr w:rsidR="00F75A65" w:rsidRPr="00232AE1" w14:paraId="2075CBF0" w14:textId="77777777" w:rsidTr="00C67671">
        <w:tc>
          <w:tcPr>
            <w:tcW w:w="5665" w:type="dxa"/>
            <w:vMerge/>
            <w:shd w:val="clear" w:color="auto" w:fill="auto"/>
          </w:tcPr>
          <w:p w14:paraId="2502BCF9" w14:textId="77777777" w:rsidR="00F75A65" w:rsidRPr="00232AE1" w:rsidRDefault="00F75A65" w:rsidP="00C67671">
            <w:pPr>
              <w:spacing w:after="0" w:line="240" w:lineRule="auto"/>
              <w:rPr>
                <w:rFonts w:ascii="Calibri" w:eastAsia="Times New Roman" w:hAnsi="Calibri" w:cs="Calibri"/>
                <w:lang w:eastAsia="en-GB"/>
              </w:rPr>
            </w:pPr>
          </w:p>
        </w:tc>
        <w:tc>
          <w:tcPr>
            <w:tcW w:w="1843" w:type="dxa"/>
            <w:shd w:val="clear" w:color="auto" w:fill="auto"/>
          </w:tcPr>
          <w:p w14:paraId="75185F84" w14:textId="77777777" w:rsidR="00F75A65" w:rsidRPr="00232AE1" w:rsidRDefault="00F75A65" w:rsidP="00C67671">
            <w:pPr>
              <w:spacing w:after="0" w:line="240" w:lineRule="auto"/>
              <w:rPr>
                <w:rFonts w:ascii="Calibri" w:eastAsia="Times New Roman" w:hAnsi="Calibri" w:cs="Calibri"/>
                <w:lang w:eastAsia="en-GB"/>
              </w:rPr>
            </w:pPr>
            <w:r w:rsidRPr="00232AE1">
              <w:rPr>
                <w:rFonts w:ascii="Calibri" w:eastAsia="Times New Roman" w:hAnsi="Calibri" w:cs="Calibri"/>
                <w:lang w:eastAsia="en-GB"/>
              </w:rPr>
              <w:t>Hate incidents only</w:t>
            </w:r>
            <w:r>
              <w:rPr>
                <w:rFonts w:ascii="Calibri" w:eastAsia="Times New Roman" w:hAnsi="Calibri" w:cs="Calibri"/>
                <w:lang w:eastAsia="en-GB"/>
              </w:rPr>
              <w:t xml:space="preserve"> </w:t>
            </w:r>
          </w:p>
        </w:tc>
        <w:tc>
          <w:tcPr>
            <w:tcW w:w="1559" w:type="dxa"/>
            <w:shd w:val="clear" w:color="auto" w:fill="auto"/>
          </w:tcPr>
          <w:p w14:paraId="43153A99" w14:textId="5EBFF2D5" w:rsidR="00F75A65" w:rsidRPr="00232AE1" w:rsidRDefault="00C67671" w:rsidP="00C67671">
            <w:pPr>
              <w:spacing w:after="0" w:line="240" w:lineRule="auto"/>
              <w:jc w:val="center"/>
              <w:rPr>
                <w:rFonts w:ascii="Calibri" w:eastAsia="Times New Roman" w:hAnsi="Calibri" w:cs="Calibri"/>
                <w:lang w:eastAsia="en-GB"/>
              </w:rPr>
            </w:pPr>
            <w:r>
              <w:rPr>
                <w:rFonts w:ascii="Calibri" w:eastAsia="Times New Roman" w:hAnsi="Calibri" w:cs="Calibri"/>
                <w:lang w:eastAsia="en-GB"/>
              </w:rPr>
              <w:t>0.1</w:t>
            </w:r>
          </w:p>
        </w:tc>
      </w:tr>
    </w:tbl>
    <w:p w14:paraId="1A6A3F3E" w14:textId="376A776F" w:rsidR="00232AE1" w:rsidRDefault="00232AE1" w:rsidP="00232AE1">
      <w:pPr>
        <w:pStyle w:val="ListParagraph"/>
      </w:pPr>
    </w:p>
    <w:p w14:paraId="0A74BC69" w14:textId="77777777" w:rsidR="00232AE1" w:rsidRPr="008A2F1F" w:rsidRDefault="00232AE1" w:rsidP="00232AE1">
      <w:pPr>
        <w:pStyle w:val="ListParagraph"/>
      </w:pPr>
    </w:p>
    <w:sectPr w:rsidR="00232AE1" w:rsidRPr="008A2F1F" w:rsidSect="00763EDE">
      <w:headerReference w:type="default" r:id="rId11"/>
      <w:pgSz w:w="11906" w:h="16838"/>
      <w:pgMar w:top="993"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A5454" w14:textId="77777777" w:rsidR="005B057B" w:rsidRDefault="005B057B" w:rsidP="008A2F1F">
      <w:pPr>
        <w:spacing w:after="0" w:line="240" w:lineRule="auto"/>
      </w:pPr>
      <w:r>
        <w:separator/>
      </w:r>
    </w:p>
  </w:endnote>
  <w:endnote w:type="continuationSeparator" w:id="0">
    <w:p w14:paraId="7C3104F5" w14:textId="77777777" w:rsidR="005B057B" w:rsidRDefault="005B057B" w:rsidP="008A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F2F4" w14:textId="77777777" w:rsidR="005B057B" w:rsidRDefault="005B057B" w:rsidP="008A2F1F">
      <w:pPr>
        <w:spacing w:after="0" w:line="240" w:lineRule="auto"/>
      </w:pPr>
      <w:r>
        <w:separator/>
      </w:r>
    </w:p>
  </w:footnote>
  <w:footnote w:type="continuationSeparator" w:id="0">
    <w:p w14:paraId="6349E075" w14:textId="77777777" w:rsidR="005B057B" w:rsidRDefault="005B057B" w:rsidP="008A2F1F">
      <w:pPr>
        <w:spacing w:after="0" w:line="240" w:lineRule="auto"/>
      </w:pPr>
      <w:r>
        <w:continuationSeparator/>
      </w:r>
    </w:p>
  </w:footnote>
  <w:footnote w:id="1">
    <w:p w14:paraId="063D062F" w14:textId="360263A2" w:rsidR="008A2F1F" w:rsidRDefault="008A2F1F">
      <w:pPr>
        <w:pStyle w:val="FootnoteText"/>
      </w:pPr>
      <w:r>
        <w:rPr>
          <w:rStyle w:val="FootnoteReference"/>
        </w:rPr>
        <w:footnoteRef/>
      </w:r>
      <w:r>
        <w:t xml:space="preserve"> TSM Return Provisional Guidance notes 2023 v1 – page 5 completion of parts flowchart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DA73" w14:textId="7AE2934D" w:rsidR="008A2F1F" w:rsidRDefault="008A2F1F">
    <w:pPr>
      <w:pStyle w:val="Header"/>
    </w:pPr>
    <w:r>
      <w:rPr>
        <w:noProof/>
      </w:rPr>
      <mc:AlternateContent>
        <mc:Choice Requires="wps">
          <w:drawing>
            <wp:anchor distT="0" distB="0" distL="114300" distR="114300" simplePos="0" relativeHeight="251659264" behindDoc="0" locked="0" layoutInCell="0" allowOverlap="1" wp14:anchorId="6139F1B3" wp14:editId="6DF9CC13">
              <wp:simplePos x="0" y="0"/>
              <wp:positionH relativeFrom="page">
                <wp:posOffset>0</wp:posOffset>
              </wp:positionH>
              <wp:positionV relativeFrom="page">
                <wp:posOffset>190500</wp:posOffset>
              </wp:positionV>
              <wp:extent cx="7560310" cy="273050"/>
              <wp:effectExtent l="0" t="0" r="0" b="12700"/>
              <wp:wrapNone/>
              <wp:docPr id="1" name="MSIPCM5a664efc9b819d9100e1ef03"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9D36C" w14:textId="7AD423FE" w:rsidR="008A2F1F" w:rsidRPr="008A2F1F" w:rsidRDefault="008A2F1F" w:rsidP="008A2F1F">
                          <w:pPr>
                            <w:spacing w:after="0"/>
                            <w:jc w:val="right"/>
                            <w:rPr>
                              <w:rFonts w:ascii="Calibri" w:hAnsi="Calibri" w:cs="Calibri"/>
                              <w:color w:val="FF8C00"/>
                              <w:sz w:val="20"/>
                            </w:rPr>
                          </w:pPr>
                          <w:r w:rsidRPr="008A2F1F">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139F1B3" id="_x0000_t202" coordsize="21600,21600" o:spt="202" path="m,l,21600r21600,l21600,xe">
              <v:stroke joinstyle="miter"/>
              <v:path gradientshapeok="t" o:connecttype="rect"/>
            </v:shapetype>
            <v:shape id="MSIPCM5a664efc9b819d9100e1ef03"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79C9D36C" w14:textId="7AD423FE" w:rsidR="008A2F1F" w:rsidRPr="008A2F1F" w:rsidRDefault="008A2F1F" w:rsidP="008A2F1F">
                    <w:pPr>
                      <w:spacing w:after="0"/>
                      <w:jc w:val="right"/>
                      <w:rPr>
                        <w:rFonts w:ascii="Calibri" w:hAnsi="Calibri" w:cs="Calibri"/>
                        <w:color w:val="FF8C00"/>
                        <w:sz w:val="20"/>
                      </w:rPr>
                    </w:pPr>
                    <w:r w:rsidRPr="008A2F1F">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B0778"/>
    <w:multiLevelType w:val="hybridMultilevel"/>
    <w:tmpl w:val="5088F7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1B4A63"/>
    <w:multiLevelType w:val="hybridMultilevel"/>
    <w:tmpl w:val="1B2810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2A49C3"/>
    <w:multiLevelType w:val="multilevel"/>
    <w:tmpl w:val="51021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9B0463"/>
    <w:multiLevelType w:val="hybridMultilevel"/>
    <w:tmpl w:val="F46A3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A42CC3"/>
    <w:multiLevelType w:val="hybridMultilevel"/>
    <w:tmpl w:val="E154D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830771">
    <w:abstractNumId w:val="3"/>
  </w:num>
  <w:num w:numId="2" w16cid:durableId="1379167344">
    <w:abstractNumId w:val="2"/>
  </w:num>
  <w:num w:numId="3" w16cid:durableId="549995468">
    <w:abstractNumId w:val="1"/>
  </w:num>
  <w:num w:numId="4" w16cid:durableId="653417075">
    <w:abstractNumId w:val="0"/>
  </w:num>
  <w:num w:numId="5" w16cid:durableId="23754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1F"/>
    <w:rsid w:val="00003F6E"/>
    <w:rsid w:val="00011BE0"/>
    <w:rsid w:val="00023824"/>
    <w:rsid w:val="00032C17"/>
    <w:rsid w:val="000A3D97"/>
    <w:rsid w:val="000E5030"/>
    <w:rsid w:val="000F6408"/>
    <w:rsid w:val="00112B7D"/>
    <w:rsid w:val="001241B1"/>
    <w:rsid w:val="00157596"/>
    <w:rsid w:val="001A476C"/>
    <w:rsid w:val="001C0909"/>
    <w:rsid w:val="001D5957"/>
    <w:rsid w:val="002136C4"/>
    <w:rsid w:val="00223A0D"/>
    <w:rsid w:val="00232AE1"/>
    <w:rsid w:val="00256830"/>
    <w:rsid w:val="00263F63"/>
    <w:rsid w:val="00264C5C"/>
    <w:rsid w:val="00280008"/>
    <w:rsid w:val="00295973"/>
    <w:rsid w:val="002A0AE6"/>
    <w:rsid w:val="002A1059"/>
    <w:rsid w:val="002A1C63"/>
    <w:rsid w:val="002D1778"/>
    <w:rsid w:val="00314891"/>
    <w:rsid w:val="00365A5F"/>
    <w:rsid w:val="00380CD3"/>
    <w:rsid w:val="003872C8"/>
    <w:rsid w:val="003934EF"/>
    <w:rsid w:val="003B3430"/>
    <w:rsid w:val="00403226"/>
    <w:rsid w:val="0041618F"/>
    <w:rsid w:val="004C6EDE"/>
    <w:rsid w:val="004D0C38"/>
    <w:rsid w:val="004E4769"/>
    <w:rsid w:val="00505F8D"/>
    <w:rsid w:val="00506FFC"/>
    <w:rsid w:val="00571ECF"/>
    <w:rsid w:val="005B057B"/>
    <w:rsid w:val="005D050C"/>
    <w:rsid w:val="005D786D"/>
    <w:rsid w:val="00626EE7"/>
    <w:rsid w:val="00667555"/>
    <w:rsid w:val="00674B30"/>
    <w:rsid w:val="00683132"/>
    <w:rsid w:val="006920BE"/>
    <w:rsid w:val="006E1FB4"/>
    <w:rsid w:val="006F7EEC"/>
    <w:rsid w:val="00713DD2"/>
    <w:rsid w:val="00751837"/>
    <w:rsid w:val="00763EDE"/>
    <w:rsid w:val="00795DB8"/>
    <w:rsid w:val="007E1ACD"/>
    <w:rsid w:val="00826974"/>
    <w:rsid w:val="008A2F1F"/>
    <w:rsid w:val="00907968"/>
    <w:rsid w:val="00911FBB"/>
    <w:rsid w:val="00953B67"/>
    <w:rsid w:val="00994751"/>
    <w:rsid w:val="009A51E0"/>
    <w:rsid w:val="009E741B"/>
    <w:rsid w:val="009F55B0"/>
    <w:rsid w:val="00A01B08"/>
    <w:rsid w:val="00A137EE"/>
    <w:rsid w:val="00A76F85"/>
    <w:rsid w:val="00AA678B"/>
    <w:rsid w:val="00AC74F4"/>
    <w:rsid w:val="00AF00B2"/>
    <w:rsid w:val="00B663E7"/>
    <w:rsid w:val="00BC2738"/>
    <w:rsid w:val="00BD290B"/>
    <w:rsid w:val="00C00CCB"/>
    <w:rsid w:val="00C37FD2"/>
    <w:rsid w:val="00C63EC8"/>
    <w:rsid w:val="00C65336"/>
    <w:rsid w:val="00C67671"/>
    <w:rsid w:val="00CE5EB1"/>
    <w:rsid w:val="00CF2406"/>
    <w:rsid w:val="00D246AB"/>
    <w:rsid w:val="00D31A3B"/>
    <w:rsid w:val="00D71AC7"/>
    <w:rsid w:val="00D75AF2"/>
    <w:rsid w:val="00DD00E0"/>
    <w:rsid w:val="00DD17DF"/>
    <w:rsid w:val="00DF5FAD"/>
    <w:rsid w:val="00E30D52"/>
    <w:rsid w:val="00E522DA"/>
    <w:rsid w:val="00E765EF"/>
    <w:rsid w:val="00E77D24"/>
    <w:rsid w:val="00ED2BD1"/>
    <w:rsid w:val="00F04407"/>
    <w:rsid w:val="00F226F3"/>
    <w:rsid w:val="00F75A65"/>
    <w:rsid w:val="00F83406"/>
    <w:rsid w:val="00F85BD9"/>
    <w:rsid w:val="00F872BA"/>
    <w:rsid w:val="00FE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F8791"/>
  <w15:chartTrackingRefBased/>
  <w15:docId w15:val="{64B275F9-9B37-42B1-9C8A-64FD783D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2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F1F"/>
    <w:rPr>
      <w:sz w:val="20"/>
      <w:szCs w:val="20"/>
    </w:rPr>
  </w:style>
  <w:style w:type="character" w:styleId="FootnoteReference">
    <w:name w:val="footnote reference"/>
    <w:basedOn w:val="DefaultParagraphFont"/>
    <w:uiPriority w:val="99"/>
    <w:semiHidden/>
    <w:unhideWhenUsed/>
    <w:rsid w:val="008A2F1F"/>
    <w:rPr>
      <w:vertAlign w:val="superscript"/>
    </w:rPr>
  </w:style>
  <w:style w:type="paragraph" w:styleId="Header">
    <w:name w:val="header"/>
    <w:basedOn w:val="Normal"/>
    <w:link w:val="HeaderChar"/>
    <w:uiPriority w:val="99"/>
    <w:unhideWhenUsed/>
    <w:rsid w:val="008A2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F1F"/>
  </w:style>
  <w:style w:type="paragraph" w:styleId="Footer">
    <w:name w:val="footer"/>
    <w:basedOn w:val="Normal"/>
    <w:link w:val="FooterChar"/>
    <w:uiPriority w:val="99"/>
    <w:unhideWhenUsed/>
    <w:rsid w:val="008A2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F1F"/>
  </w:style>
  <w:style w:type="paragraph" w:styleId="ListParagraph">
    <w:name w:val="List Paragraph"/>
    <w:basedOn w:val="Normal"/>
    <w:uiPriority w:val="34"/>
    <w:qFormat/>
    <w:rsid w:val="00295973"/>
    <w:pPr>
      <w:ind w:left="720"/>
      <w:contextualSpacing/>
    </w:pPr>
  </w:style>
  <w:style w:type="table" w:styleId="TableGrid">
    <w:name w:val="Table Grid"/>
    <w:basedOn w:val="TableNormal"/>
    <w:uiPriority w:val="59"/>
    <w:rsid w:val="00911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5BD9"/>
    <w:pPr>
      <w:spacing w:after="0" w:line="240" w:lineRule="auto"/>
    </w:pPr>
  </w:style>
  <w:style w:type="character" w:styleId="Hyperlink">
    <w:name w:val="Hyperlink"/>
    <w:basedOn w:val="DefaultParagraphFont"/>
    <w:uiPriority w:val="99"/>
    <w:unhideWhenUsed/>
    <w:rsid w:val="001A476C"/>
    <w:rPr>
      <w:color w:val="0000FF" w:themeColor="hyperlink"/>
      <w:u w:val="single"/>
    </w:rPr>
  </w:style>
  <w:style w:type="character" w:styleId="UnresolvedMention">
    <w:name w:val="Unresolved Mention"/>
    <w:basedOn w:val="DefaultParagraphFont"/>
    <w:uiPriority w:val="99"/>
    <w:semiHidden/>
    <w:unhideWhenUsed/>
    <w:rsid w:val="001A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F2E9-5527-4398-8620-ACB51B95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West</dc:creator>
  <cp:keywords/>
  <dc:description/>
  <cp:lastModifiedBy>Frankie Addey</cp:lastModifiedBy>
  <cp:revision>6</cp:revision>
  <dcterms:created xsi:type="dcterms:W3CDTF">2025-02-10T10:20:00Z</dcterms:created>
  <dcterms:modified xsi:type="dcterms:W3CDTF">2025-06-27T10:20:00Z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2023-11-16T14:25:40Z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60afd428-031b-4a72-8081-123e8ee0eb49</vt:lpwstr>
  </property>
  <property fmtid="{D5CDD505-2E9C-101B-9397-08002B2CF9AE}" pid="8" name="MSIP_Label_65bade86-969a-4cfc-8d70-99d1f0adeaba_ContentBits">
    <vt:lpwstr>1</vt:lpwstr>
  </property>
</Properties>
</file>